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04" w:rsidRPr="001A1B4D" w:rsidRDefault="00E24304" w:rsidP="00E24304">
      <w:pPr>
        <w:rPr>
          <w:color w:val="000000" w:themeColor="text1"/>
          <w:sz w:val="28"/>
          <w:szCs w:val="28"/>
        </w:rPr>
      </w:pPr>
    </w:p>
    <w:p w:rsidR="00E24304" w:rsidRPr="001A1B4D" w:rsidRDefault="00E24304" w:rsidP="00E24304">
      <w:pPr>
        <w:jc w:val="right"/>
        <w:rPr>
          <w:b/>
          <w:color w:val="000000" w:themeColor="text1"/>
          <w:sz w:val="28"/>
          <w:szCs w:val="28"/>
        </w:rPr>
      </w:pPr>
      <w:r w:rsidRPr="001A1B4D">
        <w:rPr>
          <w:noProof/>
          <w:lang w:val="ru-RU" w:eastAsia="ru-RU"/>
        </w:rPr>
        <w:drawing>
          <wp:anchor distT="0" distB="0" distL="114300" distR="114300" simplePos="0" relativeHeight="251659264" behindDoc="0" locked="0" layoutInCell="1" allowOverlap="1" wp14:anchorId="2CCFB383" wp14:editId="3726674E">
            <wp:simplePos x="0" y="0"/>
            <wp:positionH relativeFrom="column">
              <wp:posOffset>2423795</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24304" w:rsidRPr="001A1B4D" w:rsidRDefault="00E24304" w:rsidP="00E24304">
      <w:pPr>
        <w:jc w:val="right"/>
        <w:rPr>
          <w:color w:val="000000" w:themeColor="text1"/>
          <w:sz w:val="28"/>
          <w:szCs w:val="28"/>
        </w:rPr>
      </w:pPr>
    </w:p>
    <w:p w:rsidR="00E24304" w:rsidRPr="001A1B4D" w:rsidRDefault="00E24304" w:rsidP="00E24304">
      <w:pPr>
        <w:jc w:val="center"/>
        <w:rPr>
          <w:color w:val="000000" w:themeColor="text1"/>
          <w:sz w:val="28"/>
          <w:szCs w:val="28"/>
        </w:rPr>
      </w:pPr>
    </w:p>
    <w:p w:rsidR="00E24304" w:rsidRPr="001A1B4D" w:rsidRDefault="00E24304" w:rsidP="00E24304">
      <w:pPr>
        <w:jc w:val="center"/>
        <w:rPr>
          <w:color w:val="000000" w:themeColor="text1"/>
          <w:sz w:val="28"/>
          <w:szCs w:val="28"/>
        </w:rPr>
      </w:pPr>
      <w:r w:rsidRPr="001A1B4D">
        <w:rPr>
          <w:color w:val="000000" w:themeColor="text1"/>
          <w:sz w:val="28"/>
          <w:szCs w:val="28"/>
        </w:rPr>
        <w:t>Рахівська міська рада</w:t>
      </w:r>
    </w:p>
    <w:p w:rsidR="00E24304" w:rsidRPr="001A1B4D" w:rsidRDefault="00E24304" w:rsidP="00E24304">
      <w:pPr>
        <w:jc w:val="center"/>
        <w:rPr>
          <w:color w:val="000000" w:themeColor="text1"/>
          <w:sz w:val="28"/>
          <w:szCs w:val="28"/>
        </w:rPr>
      </w:pPr>
      <w:r w:rsidRPr="001A1B4D">
        <w:rPr>
          <w:color w:val="000000" w:themeColor="text1"/>
          <w:sz w:val="28"/>
          <w:szCs w:val="28"/>
        </w:rPr>
        <w:t>виконавчий комітет</w:t>
      </w:r>
    </w:p>
    <w:p w:rsidR="00E24304" w:rsidRPr="001A1B4D" w:rsidRDefault="00E24304" w:rsidP="00E24304">
      <w:pPr>
        <w:jc w:val="center"/>
        <w:rPr>
          <w:color w:val="000000" w:themeColor="text1"/>
          <w:sz w:val="28"/>
          <w:szCs w:val="28"/>
        </w:rPr>
      </w:pPr>
    </w:p>
    <w:p w:rsidR="00E24304" w:rsidRPr="001A1B4D" w:rsidRDefault="00E24304" w:rsidP="00E24304">
      <w:pPr>
        <w:jc w:val="center"/>
        <w:rPr>
          <w:color w:val="000000" w:themeColor="text1"/>
          <w:sz w:val="28"/>
          <w:szCs w:val="28"/>
        </w:rPr>
      </w:pPr>
      <w:r w:rsidRPr="001A1B4D">
        <w:rPr>
          <w:color w:val="000000" w:themeColor="text1"/>
          <w:sz w:val="28"/>
          <w:szCs w:val="28"/>
        </w:rPr>
        <w:t xml:space="preserve">Р І Ш Е Н </w:t>
      </w:r>
      <w:proofErr w:type="spellStart"/>
      <w:r w:rsidRPr="001A1B4D">
        <w:rPr>
          <w:color w:val="000000" w:themeColor="text1"/>
          <w:sz w:val="28"/>
          <w:szCs w:val="28"/>
        </w:rPr>
        <w:t>Н</w:t>
      </w:r>
      <w:proofErr w:type="spellEnd"/>
      <w:r w:rsidRPr="001A1B4D">
        <w:rPr>
          <w:color w:val="000000" w:themeColor="text1"/>
          <w:sz w:val="28"/>
          <w:szCs w:val="28"/>
        </w:rPr>
        <w:t xml:space="preserve"> Я</w:t>
      </w:r>
    </w:p>
    <w:p w:rsidR="00E24304" w:rsidRPr="001A1B4D" w:rsidRDefault="00E24304" w:rsidP="00E24304">
      <w:pPr>
        <w:jc w:val="center"/>
        <w:rPr>
          <w:color w:val="000000" w:themeColor="text1"/>
          <w:sz w:val="28"/>
          <w:szCs w:val="28"/>
        </w:rPr>
      </w:pPr>
    </w:p>
    <w:p w:rsidR="00E24304" w:rsidRPr="001A1B4D" w:rsidRDefault="00E24304" w:rsidP="00E24304">
      <w:pPr>
        <w:jc w:val="both"/>
        <w:rPr>
          <w:color w:val="000000" w:themeColor="text1"/>
          <w:sz w:val="28"/>
          <w:szCs w:val="28"/>
          <w:lang w:eastAsia="ru-RU"/>
        </w:rPr>
      </w:pPr>
      <w:r w:rsidRPr="001A1B4D">
        <w:rPr>
          <w:color w:val="000000" w:themeColor="text1"/>
          <w:sz w:val="28"/>
          <w:szCs w:val="28"/>
          <w:lang w:eastAsia="ru-RU"/>
        </w:rPr>
        <w:t>від  27 серпня 2025 року   №102</w:t>
      </w:r>
    </w:p>
    <w:p w:rsidR="00E24304" w:rsidRPr="001A1B4D" w:rsidRDefault="00E24304" w:rsidP="00E24304">
      <w:pPr>
        <w:rPr>
          <w:color w:val="000000" w:themeColor="text1"/>
          <w:sz w:val="28"/>
          <w:szCs w:val="28"/>
          <w:lang w:eastAsia="ru-RU"/>
        </w:rPr>
      </w:pPr>
      <w:r w:rsidRPr="001A1B4D">
        <w:rPr>
          <w:color w:val="000000" w:themeColor="text1"/>
          <w:sz w:val="28"/>
          <w:szCs w:val="28"/>
          <w:lang w:eastAsia="ru-RU"/>
        </w:rPr>
        <w:t xml:space="preserve">м. Рахів </w:t>
      </w:r>
    </w:p>
    <w:p w:rsidR="00E24304" w:rsidRPr="001A1B4D" w:rsidRDefault="00E24304" w:rsidP="00E24304">
      <w:pPr>
        <w:jc w:val="both"/>
        <w:rPr>
          <w:rFonts w:eastAsia="Calibri"/>
          <w:b/>
          <w:color w:val="000000" w:themeColor="text1"/>
          <w:sz w:val="28"/>
          <w:szCs w:val="28"/>
          <w:lang w:eastAsia="ru-RU"/>
        </w:rPr>
      </w:pPr>
    </w:p>
    <w:p w:rsidR="00E24304" w:rsidRPr="001A1B4D" w:rsidRDefault="00E24304" w:rsidP="00E24304">
      <w:pPr>
        <w:rPr>
          <w:color w:val="000000" w:themeColor="text1"/>
          <w:sz w:val="28"/>
          <w:szCs w:val="28"/>
          <w:lang w:eastAsia="ru-RU"/>
        </w:rPr>
      </w:pPr>
      <w:r w:rsidRPr="001A1B4D">
        <w:rPr>
          <w:color w:val="000000" w:themeColor="text1"/>
          <w:sz w:val="28"/>
          <w:szCs w:val="28"/>
          <w:lang w:eastAsia="ru-RU"/>
        </w:rPr>
        <w:t xml:space="preserve">Про схвалення прогнозу бюджету Рахівської міської </w:t>
      </w:r>
    </w:p>
    <w:p w:rsidR="00E24304" w:rsidRPr="001A1B4D" w:rsidRDefault="00E24304" w:rsidP="00E24304">
      <w:pPr>
        <w:rPr>
          <w:color w:val="000000" w:themeColor="text1"/>
          <w:sz w:val="28"/>
          <w:szCs w:val="28"/>
          <w:lang w:eastAsia="ru-RU"/>
        </w:rPr>
      </w:pPr>
      <w:r w:rsidRPr="001A1B4D">
        <w:rPr>
          <w:color w:val="000000" w:themeColor="text1"/>
          <w:sz w:val="28"/>
          <w:szCs w:val="28"/>
          <w:lang w:eastAsia="ru-RU"/>
        </w:rPr>
        <w:t>територіальної громади на 2026-2028 роки</w:t>
      </w:r>
    </w:p>
    <w:p w:rsidR="00E24304" w:rsidRPr="001A1B4D" w:rsidRDefault="00E24304" w:rsidP="00E24304">
      <w:pPr>
        <w:rPr>
          <w:color w:val="000000" w:themeColor="text1"/>
          <w:sz w:val="28"/>
          <w:szCs w:val="28"/>
          <w:u w:val="single"/>
          <w:lang w:eastAsia="ru-RU"/>
        </w:rPr>
      </w:pPr>
    </w:p>
    <w:p w:rsidR="00E24304" w:rsidRPr="001A1B4D" w:rsidRDefault="00E24304" w:rsidP="00E24304">
      <w:pPr>
        <w:rPr>
          <w:b/>
          <w:color w:val="000000" w:themeColor="text1"/>
          <w:sz w:val="28"/>
          <w:szCs w:val="28"/>
          <w:u w:val="single"/>
          <w:lang w:eastAsia="ru-RU"/>
        </w:rPr>
      </w:pPr>
      <w:r w:rsidRPr="001A1B4D">
        <w:rPr>
          <w:b/>
          <w:color w:val="000000" w:themeColor="text1"/>
          <w:sz w:val="28"/>
          <w:szCs w:val="28"/>
          <w:u w:val="single"/>
          <w:lang w:eastAsia="ru-RU"/>
        </w:rPr>
        <w:t xml:space="preserve">0754900000 </w:t>
      </w:r>
      <w:bookmarkStart w:id="0" w:name="_GoBack"/>
      <w:bookmarkEnd w:id="0"/>
    </w:p>
    <w:p w:rsidR="00E24304" w:rsidRPr="001A1B4D" w:rsidRDefault="00E24304" w:rsidP="00E24304">
      <w:pPr>
        <w:rPr>
          <w:color w:val="000000" w:themeColor="text1"/>
          <w:sz w:val="28"/>
          <w:szCs w:val="28"/>
          <w:lang w:eastAsia="ru-RU"/>
        </w:rPr>
      </w:pPr>
      <w:r w:rsidRPr="001A1B4D">
        <w:rPr>
          <w:color w:val="000000" w:themeColor="text1"/>
          <w:sz w:val="28"/>
          <w:szCs w:val="28"/>
          <w:lang w:eastAsia="ru-RU"/>
        </w:rPr>
        <w:t>(код бюджету)</w:t>
      </w:r>
    </w:p>
    <w:p w:rsidR="00E24304" w:rsidRPr="001A1B4D" w:rsidRDefault="00E24304" w:rsidP="00E24304">
      <w:pPr>
        <w:rPr>
          <w:color w:val="000000" w:themeColor="text1"/>
          <w:sz w:val="28"/>
          <w:szCs w:val="28"/>
          <w:lang w:eastAsia="ru-RU"/>
        </w:rPr>
      </w:pPr>
    </w:p>
    <w:p w:rsidR="00E24304" w:rsidRPr="001A1B4D" w:rsidRDefault="00E24304" w:rsidP="00E24304">
      <w:pPr>
        <w:ind w:firstLine="709"/>
        <w:jc w:val="both"/>
        <w:rPr>
          <w:noProof/>
          <w:color w:val="000000" w:themeColor="text1"/>
          <w:sz w:val="28"/>
          <w:szCs w:val="28"/>
        </w:rPr>
      </w:pPr>
      <w:r w:rsidRPr="001A1B4D">
        <w:rPr>
          <w:color w:val="000000" w:themeColor="text1"/>
          <w:sz w:val="28"/>
          <w:szCs w:val="28"/>
        </w:rPr>
        <w:t>Керуючись статтями 75, 75</w:t>
      </w:r>
      <w:r w:rsidRPr="001A1B4D">
        <w:rPr>
          <w:color w:val="000000" w:themeColor="text1"/>
          <w:sz w:val="28"/>
          <w:szCs w:val="28"/>
          <w:vertAlign w:val="superscript"/>
        </w:rPr>
        <w:t>1</w:t>
      </w:r>
      <w:r w:rsidRPr="001A1B4D">
        <w:rPr>
          <w:color w:val="000000" w:themeColor="text1"/>
          <w:sz w:val="28"/>
          <w:szCs w:val="28"/>
        </w:rPr>
        <w:t xml:space="preserve"> Бюджетного кодексу України, Законом України від 18.09.2024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постановою Кабінету Міністрів України від 27.06.2025 №774 </w:t>
      </w:r>
      <w:proofErr w:type="spellStart"/>
      <w:r w:rsidRPr="001A1B4D">
        <w:rPr>
          <w:color w:val="000000" w:themeColor="text1"/>
          <w:sz w:val="28"/>
          <w:szCs w:val="28"/>
        </w:rPr>
        <w:t>„Про</w:t>
      </w:r>
      <w:proofErr w:type="spellEnd"/>
      <w:r w:rsidRPr="001A1B4D">
        <w:rPr>
          <w:color w:val="000000" w:themeColor="text1"/>
          <w:sz w:val="28"/>
          <w:szCs w:val="28"/>
        </w:rPr>
        <w:t xml:space="preserve"> схвалення Бюджетної декларації”, наказу Міністерства фінансів України від 02.06.2021 року №314 </w:t>
      </w:r>
      <w:proofErr w:type="spellStart"/>
      <w:r w:rsidRPr="001A1B4D">
        <w:rPr>
          <w:color w:val="000000" w:themeColor="text1"/>
          <w:sz w:val="28"/>
          <w:szCs w:val="28"/>
        </w:rPr>
        <w:t>„Про</w:t>
      </w:r>
      <w:proofErr w:type="spellEnd"/>
      <w:r w:rsidRPr="001A1B4D">
        <w:rPr>
          <w:color w:val="000000" w:themeColor="text1"/>
          <w:sz w:val="28"/>
          <w:szCs w:val="28"/>
        </w:rPr>
        <w:t xml:space="preserve"> затвердження Типової форми прогнозу місцевого бюджету та Інструкції щодо його складання”, керуючись п.1 </w:t>
      </w:r>
      <w:proofErr w:type="spellStart"/>
      <w:r w:rsidRPr="001A1B4D">
        <w:rPr>
          <w:color w:val="000000" w:themeColor="text1"/>
          <w:sz w:val="28"/>
          <w:szCs w:val="28"/>
        </w:rPr>
        <w:t>ч.«а</w:t>
      </w:r>
      <w:proofErr w:type="spellEnd"/>
      <w:r w:rsidRPr="001A1B4D">
        <w:rPr>
          <w:color w:val="000000" w:themeColor="text1"/>
          <w:sz w:val="28"/>
          <w:szCs w:val="28"/>
        </w:rPr>
        <w:t xml:space="preserve">» ст.28 Закону України </w:t>
      </w:r>
      <w:proofErr w:type="spellStart"/>
      <w:r w:rsidRPr="001A1B4D">
        <w:rPr>
          <w:color w:val="000000" w:themeColor="text1"/>
          <w:sz w:val="28"/>
          <w:szCs w:val="28"/>
        </w:rPr>
        <w:t>„Про</w:t>
      </w:r>
      <w:proofErr w:type="spellEnd"/>
      <w:r w:rsidRPr="001A1B4D">
        <w:rPr>
          <w:color w:val="000000" w:themeColor="text1"/>
          <w:sz w:val="28"/>
          <w:szCs w:val="28"/>
        </w:rPr>
        <w:t xml:space="preserve"> місцеве самоврядування в Україні”, </w:t>
      </w:r>
      <w:r w:rsidRPr="001A1B4D">
        <w:rPr>
          <w:noProof/>
          <w:color w:val="000000" w:themeColor="text1"/>
          <w:sz w:val="28"/>
          <w:szCs w:val="28"/>
        </w:rPr>
        <w:t>виконавчий комітет міської ради</w:t>
      </w:r>
    </w:p>
    <w:p w:rsidR="00E24304" w:rsidRPr="001A1B4D" w:rsidRDefault="00E24304" w:rsidP="00E24304">
      <w:pPr>
        <w:jc w:val="both"/>
        <w:rPr>
          <w:noProof/>
          <w:color w:val="000000" w:themeColor="text1"/>
          <w:sz w:val="28"/>
          <w:szCs w:val="28"/>
        </w:rPr>
      </w:pPr>
    </w:p>
    <w:p w:rsidR="00E24304" w:rsidRPr="001A1B4D" w:rsidRDefault="00E24304" w:rsidP="00E24304">
      <w:pPr>
        <w:jc w:val="center"/>
        <w:rPr>
          <w:noProof/>
          <w:color w:val="000000" w:themeColor="text1"/>
          <w:sz w:val="28"/>
          <w:szCs w:val="28"/>
        </w:rPr>
      </w:pPr>
      <w:r w:rsidRPr="001A1B4D">
        <w:rPr>
          <w:noProof/>
          <w:color w:val="000000" w:themeColor="text1"/>
          <w:sz w:val="28"/>
          <w:szCs w:val="28"/>
        </w:rPr>
        <w:t>в и р і ш и в:</w:t>
      </w:r>
    </w:p>
    <w:p w:rsidR="00E24304" w:rsidRPr="001A1B4D" w:rsidRDefault="00E24304" w:rsidP="00E24304">
      <w:pPr>
        <w:rPr>
          <w:noProof/>
          <w:color w:val="000000" w:themeColor="text1"/>
          <w:sz w:val="28"/>
          <w:szCs w:val="28"/>
        </w:rPr>
      </w:pPr>
    </w:p>
    <w:p w:rsidR="00E24304" w:rsidRPr="001A1B4D" w:rsidRDefault="00E24304" w:rsidP="00E24304">
      <w:pPr>
        <w:ind w:firstLine="708"/>
        <w:jc w:val="both"/>
        <w:rPr>
          <w:color w:val="000000" w:themeColor="text1"/>
          <w:sz w:val="28"/>
          <w:szCs w:val="28"/>
        </w:rPr>
      </w:pPr>
      <w:r w:rsidRPr="001A1B4D">
        <w:rPr>
          <w:color w:val="000000" w:themeColor="text1"/>
          <w:sz w:val="28"/>
          <w:szCs w:val="28"/>
        </w:rPr>
        <w:t>1. Схвалити прогноз бюджету Рахівської міської територіальної громади на 2026-2028 роки, що додається.</w:t>
      </w:r>
    </w:p>
    <w:p w:rsidR="00E24304" w:rsidRPr="001A1B4D" w:rsidRDefault="00E24304" w:rsidP="00E24304">
      <w:pPr>
        <w:ind w:firstLine="708"/>
        <w:jc w:val="both"/>
        <w:rPr>
          <w:color w:val="000000" w:themeColor="text1"/>
          <w:sz w:val="28"/>
          <w:szCs w:val="28"/>
        </w:rPr>
      </w:pPr>
      <w:r w:rsidRPr="001A1B4D">
        <w:rPr>
          <w:color w:val="000000" w:themeColor="text1"/>
          <w:sz w:val="28"/>
          <w:szCs w:val="28"/>
        </w:rPr>
        <w:t>2. Оприлюднити прогноз бюджету Рахівської міської територіальної громади на 2026-2028 роки на офіційному сайті Рахівської міської ради.</w:t>
      </w:r>
    </w:p>
    <w:p w:rsidR="00E24304" w:rsidRPr="001A1B4D" w:rsidRDefault="00E24304" w:rsidP="00E24304">
      <w:pPr>
        <w:tabs>
          <w:tab w:val="left" w:pos="540"/>
        </w:tabs>
        <w:ind w:firstLine="708"/>
        <w:jc w:val="both"/>
        <w:rPr>
          <w:color w:val="000000" w:themeColor="text1"/>
          <w:sz w:val="28"/>
          <w:szCs w:val="28"/>
        </w:rPr>
      </w:pPr>
      <w:r w:rsidRPr="001A1B4D">
        <w:rPr>
          <w:color w:val="000000" w:themeColor="text1"/>
          <w:sz w:val="28"/>
          <w:szCs w:val="28"/>
        </w:rPr>
        <w:t>3. Контроль за виконанням цього рішення покласти на фінансовий відділ Рахівської міської ради</w:t>
      </w:r>
      <w:r w:rsidRPr="001A1B4D">
        <w:rPr>
          <w:iCs/>
          <w:color w:val="000000" w:themeColor="text1"/>
          <w:sz w:val="28"/>
          <w:szCs w:val="28"/>
        </w:rPr>
        <w:t>.</w:t>
      </w:r>
    </w:p>
    <w:p w:rsidR="00E24304" w:rsidRPr="001A1B4D" w:rsidRDefault="00E24304" w:rsidP="00E24304">
      <w:pPr>
        <w:tabs>
          <w:tab w:val="left" w:pos="540"/>
        </w:tabs>
        <w:rPr>
          <w:b/>
          <w:bCs/>
          <w:color w:val="000000" w:themeColor="text1"/>
          <w:sz w:val="28"/>
          <w:szCs w:val="28"/>
        </w:rPr>
      </w:pPr>
    </w:p>
    <w:p w:rsidR="00E24304" w:rsidRPr="001A1B4D" w:rsidRDefault="00E24304" w:rsidP="00E24304">
      <w:pPr>
        <w:tabs>
          <w:tab w:val="left" w:pos="540"/>
        </w:tabs>
        <w:rPr>
          <w:b/>
          <w:bCs/>
          <w:color w:val="000000" w:themeColor="text1"/>
          <w:sz w:val="28"/>
          <w:szCs w:val="28"/>
        </w:rPr>
      </w:pPr>
    </w:p>
    <w:p w:rsidR="00E24304" w:rsidRPr="001A1B4D" w:rsidRDefault="00E24304" w:rsidP="00E24304">
      <w:pPr>
        <w:tabs>
          <w:tab w:val="left" w:pos="540"/>
        </w:tabs>
        <w:rPr>
          <w:bCs/>
          <w:color w:val="000000" w:themeColor="text1"/>
          <w:sz w:val="28"/>
          <w:szCs w:val="28"/>
        </w:rPr>
      </w:pPr>
      <w:proofErr w:type="spellStart"/>
      <w:r w:rsidRPr="001A1B4D">
        <w:rPr>
          <w:bCs/>
          <w:color w:val="000000" w:themeColor="text1"/>
          <w:sz w:val="28"/>
          <w:szCs w:val="28"/>
        </w:rPr>
        <w:t>В.п</w:t>
      </w:r>
      <w:proofErr w:type="spellEnd"/>
      <w:r w:rsidRPr="001A1B4D">
        <w:rPr>
          <w:bCs/>
          <w:color w:val="000000" w:themeColor="text1"/>
          <w:sz w:val="28"/>
          <w:szCs w:val="28"/>
        </w:rPr>
        <w:t>. міського голови,</w:t>
      </w:r>
    </w:p>
    <w:p w:rsidR="00E24304" w:rsidRDefault="00E24304" w:rsidP="00E24304">
      <w:pPr>
        <w:tabs>
          <w:tab w:val="left" w:pos="540"/>
        </w:tabs>
        <w:rPr>
          <w:bCs/>
          <w:color w:val="000000" w:themeColor="text1"/>
          <w:sz w:val="28"/>
          <w:szCs w:val="28"/>
        </w:rPr>
      </w:pPr>
      <w:r w:rsidRPr="001A1B4D">
        <w:rPr>
          <w:bCs/>
          <w:color w:val="000000" w:themeColor="text1"/>
          <w:sz w:val="28"/>
          <w:szCs w:val="28"/>
        </w:rPr>
        <w:t>секретар ради та виконкому                                                     Євген МОЛНАР</w:t>
      </w:r>
    </w:p>
    <w:p w:rsidR="00E24304" w:rsidRDefault="00E24304" w:rsidP="00E24304">
      <w:pPr>
        <w:suppressAutoHyphens w:val="0"/>
        <w:spacing w:after="200" w:line="276" w:lineRule="auto"/>
        <w:rPr>
          <w:bCs/>
          <w:color w:val="000000" w:themeColor="text1"/>
          <w:sz w:val="28"/>
          <w:szCs w:val="28"/>
        </w:rPr>
      </w:pPr>
      <w:r>
        <w:rPr>
          <w:bCs/>
          <w:color w:val="000000" w:themeColor="text1"/>
          <w:sz w:val="28"/>
          <w:szCs w:val="28"/>
        </w:rPr>
        <w:br w:type="page"/>
      </w:r>
    </w:p>
    <w:p w:rsidR="00E24304" w:rsidRDefault="00E24304" w:rsidP="00E24304">
      <w:pPr>
        <w:tabs>
          <w:tab w:val="left" w:pos="5954"/>
        </w:tabs>
        <w:jc w:val="right"/>
        <w:rPr>
          <w:noProof/>
        </w:rPr>
      </w:pPr>
      <w:r>
        <w:rPr>
          <w:noProof/>
        </w:rPr>
        <w:lastRenderedPageBreak/>
        <w:t>СХВАЛЕНО</w:t>
      </w:r>
    </w:p>
    <w:p w:rsidR="00E24304" w:rsidRDefault="00E24304" w:rsidP="00E24304">
      <w:pPr>
        <w:tabs>
          <w:tab w:val="left" w:pos="5954"/>
        </w:tabs>
        <w:jc w:val="right"/>
        <w:rPr>
          <w:noProof/>
        </w:rPr>
      </w:pPr>
      <w:r>
        <w:rPr>
          <w:noProof/>
        </w:rPr>
        <w:t xml:space="preserve">Рішення виконавчого комітету </w:t>
      </w:r>
    </w:p>
    <w:p w:rsidR="00E24304" w:rsidRDefault="00E24304" w:rsidP="00E24304">
      <w:pPr>
        <w:tabs>
          <w:tab w:val="left" w:pos="5954"/>
        </w:tabs>
        <w:jc w:val="right"/>
        <w:rPr>
          <w:noProof/>
        </w:rPr>
      </w:pPr>
      <w:r>
        <w:rPr>
          <w:noProof/>
        </w:rPr>
        <w:t xml:space="preserve">Рахівської міської ради </w:t>
      </w:r>
    </w:p>
    <w:p w:rsidR="00E24304" w:rsidRDefault="00E24304" w:rsidP="00E24304">
      <w:pPr>
        <w:tabs>
          <w:tab w:val="left" w:pos="5954"/>
        </w:tabs>
        <w:jc w:val="right"/>
        <w:rPr>
          <w:noProof/>
        </w:rPr>
      </w:pPr>
      <w:r>
        <w:rPr>
          <w:noProof/>
        </w:rPr>
        <w:t>від 28 серпня 2025 року №102</w:t>
      </w:r>
    </w:p>
    <w:p w:rsidR="00E24304" w:rsidRDefault="00E24304" w:rsidP="00E24304">
      <w:pPr>
        <w:tabs>
          <w:tab w:val="left" w:pos="5954"/>
        </w:tabs>
        <w:jc w:val="center"/>
        <w:rPr>
          <w:b/>
          <w:noProof/>
        </w:rPr>
      </w:pPr>
    </w:p>
    <w:p w:rsidR="00E24304" w:rsidRDefault="00E24304" w:rsidP="00E24304">
      <w:pPr>
        <w:jc w:val="center"/>
        <w:rPr>
          <w:b/>
          <w:noProof/>
        </w:rPr>
      </w:pPr>
      <w:r>
        <w:rPr>
          <w:b/>
          <w:noProof/>
        </w:rPr>
        <w:t>Прогноз</w:t>
      </w:r>
    </w:p>
    <w:p w:rsidR="00E24304" w:rsidRDefault="00E24304" w:rsidP="00E24304">
      <w:pPr>
        <w:jc w:val="center"/>
        <w:rPr>
          <w:b/>
          <w:noProof/>
        </w:rPr>
      </w:pPr>
      <w:r>
        <w:rPr>
          <w:b/>
          <w:noProof/>
        </w:rPr>
        <w:t>бюджету Рахівської міської територіальної громади</w:t>
      </w:r>
    </w:p>
    <w:p w:rsidR="00E24304" w:rsidRDefault="00E24304" w:rsidP="00E24304">
      <w:pPr>
        <w:jc w:val="center"/>
        <w:rPr>
          <w:noProof/>
        </w:rPr>
      </w:pPr>
      <w:r>
        <w:rPr>
          <w:b/>
          <w:noProof/>
        </w:rPr>
        <w:t>на 2026-2028 роки</w:t>
      </w:r>
    </w:p>
    <w:p w:rsidR="00E24304" w:rsidRDefault="00E24304" w:rsidP="00E24304">
      <w:pPr>
        <w:jc w:val="center"/>
        <w:rPr>
          <w:noProof/>
        </w:rPr>
      </w:pPr>
    </w:p>
    <w:tbl>
      <w:tblPr>
        <w:tblW w:w="0" w:type="auto"/>
        <w:tblLayout w:type="fixed"/>
        <w:tblCellMar>
          <w:left w:w="10" w:type="dxa"/>
          <w:right w:w="10" w:type="dxa"/>
        </w:tblCellMar>
        <w:tblLook w:val="04A0" w:firstRow="1" w:lastRow="0" w:firstColumn="1" w:lastColumn="0" w:noHBand="0" w:noVBand="1"/>
      </w:tblPr>
      <w:tblGrid>
        <w:gridCol w:w="4800"/>
      </w:tblGrid>
      <w:tr w:rsidR="00E24304" w:rsidTr="00D729AA">
        <w:trPr>
          <w:trHeight w:val="220"/>
        </w:trPr>
        <w:tc>
          <w:tcPr>
            <w:tcW w:w="4800" w:type="dxa"/>
            <w:tcMar>
              <w:top w:w="0" w:type="dxa"/>
              <w:left w:w="0" w:type="dxa"/>
              <w:bottom w:w="0" w:type="dxa"/>
              <w:right w:w="0" w:type="dxa"/>
            </w:tcMar>
            <w:vAlign w:val="center"/>
            <w:hideMark/>
          </w:tcPr>
          <w:p w:rsidR="00E24304" w:rsidRDefault="00E24304" w:rsidP="00D729AA">
            <w:pPr>
              <w:jc w:val="center"/>
              <w:rPr>
                <w:lang w:eastAsia="ru-RU"/>
              </w:rPr>
            </w:pPr>
            <w:r>
              <w:rPr>
                <w:rFonts w:eastAsia="Arial"/>
              </w:rPr>
              <w:t>07549000000</w:t>
            </w:r>
          </w:p>
        </w:tc>
      </w:tr>
      <w:tr w:rsidR="00E24304" w:rsidTr="00D729AA">
        <w:trPr>
          <w:trHeight w:val="240"/>
        </w:trPr>
        <w:tc>
          <w:tcPr>
            <w:tcW w:w="4800" w:type="dxa"/>
            <w:tcBorders>
              <w:top w:val="single" w:sz="6" w:space="0" w:color="000000"/>
              <w:left w:val="nil"/>
              <w:bottom w:val="nil"/>
              <w:right w:val="nil"/>
            </w:tcBorders>
            <w:tcMar>
              <w:top w:w="0" w:type="dxa"/>
              <w:left w:w="0" w:type="dxa"/>
              <w:bottom w:w="0" w:type="dxa"/>
              <w:right w:w="0" w:type="dxa"/>
            </w:tcMar>
            <w:vAlign w:val="center"/>
            <w:hideMark/>
          </w:tcPr>
          <w:p w:rsidR="00E24304" w:rsidRDefault="00E24304" w:rsidP="00D729AA">
            <w:pPr>
              <w:jc w:val="center"/>
              <w:rPr>
                <w:lang w:eastAsia="ru-RU"/>
              </w:rPr>
            </w:pPr>
            <w:r>
              <w:t>(код бюджету)</w:t>
            </w:r>
          </w:p>
        </w:tc>
      </w:tr>
    </w:tbl>
    <w:p w:rsidR="00E24304" w:rsidRDefault="00E24304" w:rsidP="00E24304">
      <w:pPr>
        <w:jc w:val="center"/>
        <w:rPr>
          <w:b/>
          <w:noProof/>
          <w:lang w:eastAsia="ru-RU"/>
        </w:rPr>
      </w:pPr>
    </w:p>
    <w:p w:rsidR="00E24304" w:rsidRDefault="00E24304" w:rsidP="00E24304">
      <w:pPr>
        <w:ind w:firstLine="567"/>
        <w:jc w:val="center"/>
        <w:rPr>
          <w:b/>
          <w:noProof/>
        </w:rPr>
      </w:pPr>
      <w:r>
        <w:rPr>
          <w:b/>
          <w:noProof/>
        </w:rPr>
        <w:t xml:space="preserve">І. Загальна частина                    </w:t>
      </w:r>
    </w:p>
    <w:p w:rsidR="00E24304" w:rsidRDefault="00E24304" w:rsidP="00E24304">
      <w:pPr>
        <w:ind w:firstLine="567"/>
        <w:jc w:val="both"/>
        <w:rPr>
          <w:noProof/>
        </w:rPr>
      </w:pPr>
      <w:r>
        <w:rPr>
          <w:noProof/>
        </w:rPr>
        <w:t>Прогноз бюджету Рахівської міської територіальної громади на 2026 - 2028 роки (далі – Прогноз) розроблено відповідно до вимог статті 75</w:t>
      </w:r>
      <w:r>
        <w:rPr>
          <w:noProof/>
          <w:vertAlign w:val="superscript"/>
        </w:rPr>
        <w:t>1</w:t>
      </w:r>
      <w:r>
        <w:rPr>
          <w:noProof/>
        </w:rPr>
        <w:t xml:space="preserve"> Бюджетного кодексу України дію якої відновлено Законом України від 18.09.2024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базуючись на схваленій постановою Кабінету Міністрів України від 27.06.2025 №774 Бюджетній декларації на 2026-2028 роки, Основних прогнозних макропоказниках економічного і соціального розвитку України на 2026-2028 роки (лист Мінекономіки від 14.04.2025 №3011-02/30287-03), Податкового та  Бюджетного кодексів України, Стратегія розвитку Рахівської міської територіальної громади на період 2025-2030 року, місцевих цільових програм та інших документах, що стосуються середньострокового планування.</w:t>
      </w:r>
    </w:p>
    <w:p w:rsidR="00E24304" w:rsidRDefault="00E24304" w:rsidP="00E24304">
      <w:pPr>
        <w:ind w:firstLine="567"/>
        <w:jc w:val="both"/>
        <w:rPr>
          <w:noProof/>
        </w:rPr>
      </w:pPr>
      <w:r>
        <w:rPr>
          <w:noProof/>
        </w:rPr>
        <w:t>Прогноз складено, враховуючи Методичні рекомендації та Інструкцію щодо складання місцевих бюджетів на середньострокову перспективу, затверджених наказом Міністерства фінансів України від  02.06.2021  № 314 ( із змінами та доповненнями).</w:t>
      </w:r>
    </w:p>
    <w:p w:rsidR="00E24304" w:rsidRDefault="00E24304" w:rsidP="00E24304">
      <w:pPr>
        <w:ind w:firstLine="567"/>
        <w:jc w:val="both"/>
        <w:rPr>
          <w:iCs/>
          <w:noProof/>
        </w:rPr>
      </w:pPr>
      <w:r>
        <w:rPr>
          <w:iCs/>
          <w:noProof/>
        </w:rPr>
        <w:t>Метою Прогнозу є формування послідовної та передбачуваної бюджетної політики міської громади на середньостроковий період, створенні дієвого механізму управління бюджетним процесом в діючих  умовах війни, із перспективою поступового відновлення.</w:t>
      </w:r>
    </w:p>
    <w:p w:rsidR="00E24304" w:rsidRDefault="00E24304" w:rsidP="00E24304">
      <w:pPr>
        <w:ind w:firstLine="567"/>
        <w:jc w:val="both"/>
        <w:rPr>
          <w:iCs/>
          <w:noProof/>
        </w:rPr>
      </w:pPr>
      <w:r>
        <w:rPr>
          <w:iCs/>
          <w:noProof/>
        </w:rPr>
        <w:t>Основними завданнями Прогнозу Рахівської міської територіальної громади на середньострокову перспективу є:</w:t>
      </w:r>
    </w:p>
    <w:p w:rsidR="00E24304" w:rsidRDefault="00E24304" w:rsidP="00E24304">
      <w:pPr>
        <w:ind w:firstLine="567"/>
        <w:jc w:val="both"/>
        <w:rPr>
          <w:iCs/>
          <w:noProof/>
        </w:rPr>
      </w:pPr>
      <w:r>
        <w:rPr>
          <w:iCs/>
          <w:noProof/>
        </w:rPr>
        <w:t>- визначення обсягу ресурсів бюджету громади  на середньострокову перспективу та встановлення взаємозв’язку між пріоритетами розвитку та можливостями бюджету;</w:t>
      </w:r>
    </w:p>
    <w:p w:rsidR="00E24304" w:rsidRDefault="00E24304" w:rsidP="00E24304">
      <w:pPr>
        <w:ind w:firstLine="567"/>
        <w:jc w:val="both"/>
        <w:rPr>
          <w:iCs/>
          <w:noProof/>
        </w:rPr>
      </w:pPr>
      <w:r>
        <w:rPr>
          <w:iCs/>
          <w:noProof/>
        </w:rPr>
        <w:t>- прогнозування обсягів видатків, пов’язаних із продовженням існуючих бюджетних програм та визначення наявності фінансового ресурсу для планування нових напрямків спрямування коштів;</w:t>
      </w:r>
    </w:p>
    <w:p w:rsidR="00E24304" w:rsidRDefault="00E24304" w:rsidP="00E24304">
      <w:pPr>
        <w:ind w:firstLine="567"/>
        <w:jc w:val="both"/>
        <w:rPr>
          <w:iCs/>
          <w:noProof/>
        </w:rPr>
      </w:pPr>
      <w:r>
        <w:rPr>
          <w:iCs/>
          <w:noProof/>
        </w:rPr>
        <w:t>- забезпечення стабільної діяльності установ бюджетної сфери для задоволення потреб мешканців громади шляхом надання якісних послуг в сфері освіти, охорони здоров’я, культури, соціального захисту, тощо;</w:t>
      </w:r>
    </w:p>
    <w:p w:rsidR="00E24304" w:rsidRDefault="00E24304" w:rsidP="00E24304">
      <w:pPr>
        <w:ind w:firstLine="567"/>
        <w:jc w:val="both"/>
        <w:rPr>
          <w:iCs/>
          <w:noProof/>
        </w:rPr>
      </w:pPr>
      <w:r>
        <w:rPr>
          <w:iCs/>
          <w:noProof/>
        </w:rPr>
        <w:t>- фінансування інвестиційних проектів (програм), що мають термін реалізації більше одного року;</w:t>
      </w:r>
    </w:p>
    <w:p w:rsidR="00E24304" w:rsidRDefault="00E24304" w:rsidP="00E24304">
      <w:pPr>
        <w:ind w:firstLine="567"/>
        <w:jc w:val="both"/>
        <w:rPr>
          <w:iCs/>
          <w:noProof/>
        </w:rPr>
      </w:pPr>
      <w:r>
        <w:rPr>
          <w:iCs/>
          <w:noProof/>
        </w:rPr>
        <w:t>- підвищення результативності, ефективності та прозорості витрачання бюджетних коштів;</w:t>
      </w:r>
    </w:p>
    <w:p w:rsidR="00E24304" w:rsidRDefault="00E24304" w:rsidP="00E24304">
      <w:pPr>
        <w:ind w:firstLine="567"/>
        <w:jc w:val="both"/>
        <w:rPr>
          <w:iCs/>
          <w:noProof/>
        </w:rPr>
      </w:pPr>
      <w:r>
        <w:rPr>
          <w:iCs/>
          <w:noProof/>
        </w:rPr>
        <w:t>- посилення бюджетної дисципліни та контролю за витратами бюджету громади, ефективне управління бюджетними коштами, зокрема, завдяки застосуванню програмно-цільового методу бюджетування.</w:t>
      </w:r>
    </w:p>
    <w:p w:rsidR="00E24304" w:rsidRDefault="00E24304" w:rsidP="00E24304">
      <w:pPr>
        <w:ind w:firstLine="567"/>
        <w:jc w:val="both"/>
        <w:rPr>
          <w:iCs/>
          <w:noProof/>
        </w:rPr>
      </w:pPr>
      <w:r>
        <w:rPr>
          <w:iCs/>
          <w:noProof/>
        </w:rPr>
        <w:t>Показники Прогнозу є орієнтирами бюджетної політики у середньостроковому періоді для збалансування напрямів політики розвитку з можливостями бюджету.</w:t>
      </w:r>
    </w:p>
    <w:p w:rsidR="00E24304" w:rsidRDefault="00E24304" w:rsidP="00E24304">
      <w:pPr>
        <w:ind w:firstLine="567"/>
        <w:jc w:val="both"/>
        <w:rPr>
          <w:iCs/>
          <w:noProof/>
        </w:rPr>
      </w:pPr>
      <w:r>
        <w:rPr>
          <w:iCs/>
          <w:noProof/>
        </w:rPr>
        <w:t xml:space="preserve">Очікувані результати реалізації прогнозу – досягнення балансу між напрямами розвитку громади та її бюджетними можливостями, враховуючи ризики та економічні, </w:t>
      </w:r>
      <w:r>
        <w:rPr>
          <w:iCs/>
          <w:noProof/>
        </w:rPr>
        <w:lastRenderedPageBreak/>
        <w:t>виклики, що впливають на економіку громади в умовах повномасштабної російської агресії.</w:t>
      </w:r>
    </w:p>
    <w:p w:rsidR="00E24304" w:rsidRDefault="00E24304" w:rsidP="00E24304">
      <w:pPr>
        <w:ind w:firstLine="567"/>
        <w:jc w:val="both"/>
        <w:rPr>
          <w:iCs/>
          <w:noProof/>
        </w:rPr>
      </w:pPr>
      <w:r>
        <w:rPr>
          <w:iCs/>
          <w:noProof/>
        </w:rPr>
        <w:t>Можливими ризиками  невиконання прогнозних показників є:</w:t>
      </w:r>
    </w:p>
    <w:p w:rsidR="00E24304" w:rsidRDefault="00E24304" w:rsidP="00E24304">
      <w:pPr>
        <w:ind w:firstLine="567"/>
        <w:jc w:val="both"/>
        <w:rPr>
          <w:iCs/>
          <w:noProof/>
        </w:rPr>
      </w:pPr>
      <w:r>
        <w:rPr>
          <w:iCs/>
          <w:noProof/>
        </w:rPr>
        <w:t>-</w:t>
      </w:r>
      <w:r>
        <w:rPr>
          <w:iCs/>
          <w:noProof/>
        </w:rPr>
        <w:tab/>
        <w:t>наслідки військової агресії росії, зокрема, руйнування виробничих комплексів та об’єктів інфраструктури, енергосистеми, спад економічних показників внаслідок припинення діяльності підприємств, скорочення працюючих, міграція робочої сили, що може призвести до скорочення ВВП та основного капіталу громади, та відповідно – зменшення надходжень до бюджету;</w:t>
      </w:r>
    </w:p>
    <w:p w:rsidR="00E24304" w:rsidRDefault="00E24304" w:rsidP="00E24304">
      <w:pPr>
        <w:ind w:firstLine="567"/>
        <w:jc w:val="both"/>
        <w:rPr>
          <w:iCs/>
          <w:noProof/>
        </w:rPr>
      </w:pPr>
      <w:r>
        <w:rPr>
          <w:iCs/>
          <w:noProof/>
        </w:rPr>
        <w:t>-</w:t>
      </w:r>
      <w:r>
        <w:rPr>
          <w:iCs/>
          <w:noProof/>
        </w:rPr>
        <w:tab/>
        <w:t>зміна бюджетного та податкового законодавства, зокрема, зміна податкових ставок, термінів і правил сплати податків, введення або відміна пільг, тощо;</w:t>
      </w:r>
    </w:p>
    <w:p w:rsidR="00E24304" w:rsidRDefault="00E24304" w:rsidP="00E24304">
      <w:pPr>
        <w:ind w:firstLine="567"/>
        <w:jc w:val="both"/>
        <w:rPr>
          <w:iCs/>
          <w:noProof/>
        </w:rPr>
      </w:pPr>
      <w:r>
        <w:rPr>
          <w:iCs/>
          <w:noProof/>
        </w:rPr>
        <w:t>-</w:t>
      </w:r>
      <w:r>
        <w:rPr>
          <w:iCs/>
          <w:noProof/>
        </w:rPr>
        <w:tab/>
        <w:t>скорочення обсягу міжбюджетних трансфертів з державного та інших бюджетів, зменшення обсягу інвестицій;</w:t>
      </w:r>
    </w:p>
    <w:p w:rsidR="00E24304" w:rsidRDefault="00E24304" w:rsidP="00E24304">
      <w:pPr>
        <w:ind w:firstLine="567"/>
        <w:jc w:val="both"/>
        <w:rPr>
          <w:iCs/>
          <w:noProof/>
        </w:rPr>
      </w:pPr>
      <w:r>
        <w:rPr>
          <w:iCs/>
          <w:noProof/>
        </w:rPr>
        <w:t>-</w:t>
      </w:r>
      <w:r>
        <w:rPr>
          <w:iCs/>
          <w:noProof/>
        </w:rPr>
        <w:tab/>
        <w:t>зростання цін на енергоносії.</w:t>
      </w:r>
    </w:p>
    <w:p w:rsidR="00E24304" w:rsidRDefault="00E24304" w:rsidP="00E24304">
      <w:pPr>
        <w:ind w:firstLine="567"/>
        <w:jc w:val="both"/>
        <w:rPr>
          <w:iCs/>
          <w:noProof/>
        </w:rPr>
      </w:pPr>
      <w:r>
        <w:rPr>
          <w:iCs/>
          <w:noProof/>
        </w:rPr>
        <w:t>Заходами з мінімізації впливу фіскальних ризиків на показники бюджету є:</w:t>
      </w:r>
    </w:p>
    <w:p w:rsidR="00E24304" w:rsidRDefault="00E24304" w:rsidP="00E24304">
      <w:pPr>
        <w:ind w:firstLine="567"/>
        <w:jc w:val="both"/>
        <w:rPr>
          <w:iCs/>
          <w:noProof/>
        </w:rPr>
      </w:pPr>
      <w:r>
        <w:rPr>
          <w:iCs/>
          <w:noProof/>
        </w:rPr>
        <w:t>мобілізація додаткових ресурсів до бюджету, використання всіх наявних резервів залучення коштів;</w:t>
      </w:r>
    </w:p>
    <w:p w:rsidR="00E24304" w:rsidRDefault="00E24304" w:rsidP="00E24304">
      <w:pPr>
        <w:ind w:firstLine="567"/>
        <w:jc w:val="both"/>
        <w:rPr>
          <w:iCs/>
          <w:noProof/>
        </w:rPr>
      </w:pPr>
      <w:r>
        <w:rPr>
          <w:iCs/>
          <w:noProof/>
        </w:rPr>
        <w:t>- удосконалення інструментів бюджетного прогнозування;</w:t>
      </w:r>
    </w:p>
    <w:p w:rsidR="00E24304" w:rsidRDefault="00E24304" w:rsidP="00E24304">
      <w:pPr>
        <w:ind w:firstLine="567"/>
        <w:jc w:val="both"/>
        <w:rPr>
          <w:iCs/>
          <w:noProof/>
        </w:rPr>
      </w:pPr>
      <w:r>
        <w:rPr>
          <w:iCs/>
          <w:noProof/>
        </w:rPr>
        <w:t>- продовження співпраці з міжнародними фінансовими організаціями.</w:t>
      </w:r>
    </w:p>
    <w:p w:rsidR="00E24304" w:rsidRDefault="00E24304" w:rsidP="00E24304">
      <w:pPr>
        <w:ind w:firstLine="567"/>
        <w:jc w:val="both"/>
        <w:rPr>
          <w:iCs/>
          <w:noProof/>
        </w:rPr>
      </w:pPr>
      <w:r>
        <w:rPr>
          <w:iCs/>
          <w:noProof/>
        </w:rPr>
        <w:t xml:space="preserve">Прогноз бюджету включає індикативні прогнозні показники: економічного і соціального розвитку громади, показники доходів, видатків, фінансування та кредитування бюджету, прогнозні показники міжбюджетних трансфертів. </w:t>
      </w:r>
    </w:p>
    <w:p w:rsidR="00E24304" w:rsidRDefault="00E24304" w:rsidP="00E24304">
      <w:pPr>
        <w:ind w:firstLine="567"/>
        <w:jc w:val="both"/>
        <w:rPr>
          <w:iCs/>
          <w:noProof/>
        </w:rPr>
      </w:pPr>
      <w:r>
        <w:rPr>
          <w:iCs/>
          <w:noProof/>
        </w:rPr>
        <w:t>Попередній Прогноз було затверджено у 2021 році на 2022-2024 роки та в подальшому прогнозування було призупинено у зв’язку із воєнним станом.</w:t>
      </w:r>
    </w:p>
    <w:p w:rsidR="00E24304" w:rsidRDefault="00E24304" w:rsidP="00E24304">
      <w:pPr>
        <w:tabs>
          <w:tab w:val="left" w:pos="1134"/>
        </w:tabs>
        <w:ind w:firstLine="567"/>
        <w:jc w:val="center"/>
        <w:rPr>
          <w:b/>
          <w:noProof/>
        </w:rPr>
      </w:pPr>
    </w:p>
    <w:p w:rsidR="00E24304" w:rsidRDefault="00E24304" w:rsidP="00E24304">
      <w:pPr>
        <w:tabs>
          <w:tab w:val="left" w:pos="1134"/>
        </w:tabs>
        <w:ind w:firstLine="567"/>
        <w:jc w:val="center"/>
        <w:rPr>
          <w:b/>
          <w:noProof/>
        </w:rPr>
      </w:pPr>
      <w:r>
        <w:rPr>
          <w:b/>
          <w:noProof/>
        </w:rPr>
        <w:t xml:space="preserve">ІІ. Основні прогнозні показники </w:t>
      </w:r>
    </w:p>
    <w:p w:rsidR="00E24304" w:rsidRDefault="00E24304" w:rsidP="00E24304">
      <w:pPr>
        <w:tabs>
          <w:tab w:val="left" w:pos="1134"/>
        </w:tabs>
        <w:ind w:firstLine="567"/>
        <w:jc w:val="center"/>
        <w:rPr>
          <w:b/>
          <w:noProof/>
        </w:rPr>
      </w:pPr>
      <w:r>
        <w:rPr>
          <w:b/>
          <w:noProof/>
        </w:rPr>
        <w:t>економічного та соціального розвитку</w:t>
      </w:r>
    </w:p>
    <w:p w:rsidR="00E24304" w:rsidRDefault="00E24304" w:rsidP="00E24304">
      <w:pPr>
        <w:ind w:firstLine="567"/>
        <w:jc w:val="both"/>
        <w:rPr>
          <w:noProof/>
        </w:rPr>
      </w:pPr>
      <w:r>
        <w:rPr>
          <w:noProof/>
        </w:rPr>
        <w:t>Показники соціально - економічного розвитку Рахівської міської територіальної громади на 2026 рік та на два наступних роки окреслюють курс розвитку економіки в цілому та визначають його перспективи на найближче майбутнє, із врахуванням економічних викликів, пов’язаних із війною.</w:t>
      </w:r>
    </w:p>
    <w:p w:rsidR="00E24304" w:rsidRDefault="00E24304" w:rsidP="00E24304">
      <w:pPr>
        <w:ind w:firstLine="567"/>
        <w:jc w:val="both"/>
        <w:rPr>
          <w:noProof/>
        </w:rPr>
      </w:pPr>
      <w:r>
        <w:rPr>
          <w:noProof/>
        </w:rPr>
        <w:t>Основне завдання економічного і соціального розвитку Рахівської міської територіальної громади – це підтримка обороноздатності Збройних Сил України, забезпечення належного функціонування усіх сфер життєдіяльності громади, безпечних умов навчання та проживання в умовах воєнного стану, надання широкого спектра соціальних послуг, вирішення соціальних питань, створення умов для економічного розвитку громади в умовах воєнного/післявоєнного стану, зміцнення міжнародних відносин, поліпшення екологічного стану довкілля.</w:t>
      </w:r>
    </w:p>
    <w:p w:rsidR="00E24304" w:rsidRDefault="00E24304" w:rsidP="00E24304">
      <w:pPr>
        <w:ind w:firstLine="567"/>
        <w:jc w:val="both"/>
        <w:rPr>
          <w:noProof/>
        </w:rPr>
      </w:pPr>
      <w:r>
        <w:rPr>
          <w:noProof/>
        </w:rPr>
        <w:t>Фактична чисельність наявного населення Рахівської міської територіальної громади станом на 1 січня 2025 року становить 23 497 осіб. Але за даними ДМС (станом на 01.07.2025) населення становить 23 989 осіб, що пов’язано з відсутностю актуалізації даних, яку буде проведено на протязі 2025 року.</w:t>
      </w:r>
    </w:p>
    <w:p w:rsidR="00E24304" w:rsidRDefault="00E24304" w:rsidP="00E24304">
      <w:pPr>
        <w:tabs>
          <w:tab w:val="left" w:pos="1134"/>
        </w:tabs>
        <w:ind w:firstLine="567"/>
        <w:jc w:val="both"/>
        <w:rPr>
          <w:noProof/>
        </w:rPr>
      </w:pPr>
      <w:r>
        <w:rPr>
          <w:noProof/>
        </w:rPr>
        <w:t>Основні прогнозні макропоказники економічного і соціального розвитку  України та окремі припущення на 2026–2028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1531"/>
        <w:gridCol w:w="1397"/>
        <w:gridCol w:w="1231"/>
      </w:tblGrid>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tabs>
                <w:tab w:val="left" w:pos="1134"/>
              </w:tabs>
              <w:jc w:val="center"/>
              <w:rPr>
                <w:noProof/>
                <w:lang w:eastAsia="ru-RU"/>
              </w:rPr>
            </w:pPr>
            <w:r>
              <w:rPr>
                <w:noProof/>
              </w:rPr>
              <w:t>Показник</w:t>
            </w:r>
          </w:p>
        </w:tc>
        <w:tc>
          <w:tcPr>
            <w:tcW w:w="1559" w:type="dxa"/>
            <w:tcBorders>
              <w:top w:val="single" w:sz="4" w:space="0" w:color="auto"/>
              <w:left w:val="single" w:sz="4" w:space="0" w:color="auto"/>
              <w:bottom w:val="single" w:sz="4" w:space="0" w:color="auto"/>
              <w:right w:val="single" w:sz="4" w:space="0" w:color="auto"/>
            </w:tcBorders>
            <w:hideMark/>
          </w:tcPr>
          <w:p w:rsidR="00E24304" w:rsidRDefault="00E24304" w:rsidP="00D729AA">
            <w:pPr>
              <w:tabs>
                <w:tab w:val="left" w:pos="1134"/>
              </w:tabs>
              <w:jc w:val="center"/>
              <w:rPr>
                <w:noProof/>
                <w:lang w:eastAsia="ru-RU"/>
              </w:rPr>
            </w:pPr>
            <w:r>
              <w:rPr>
                <w:noProof/>
              </w:rPr>
              <w:t>2026 рік</w:t>
            </w:r>
          </w:p>
        </w:tc>
        <w:tc>
          <w:tcPr>
            <w:tcW w:w="1417" w:type="dxa"/>
            <w:tcBorders>
              <w:top w:val="single" w:sz="4" w:space="0" w:color="auto"/>
              <w:left w:val="single" w:sz="4" w:space="0" w:color="auto"/>
              <w:bottom w:val="single" w:sz="4" w:space="0" w:color="auto"/>
              <w:right w:val="single" w:sz="4" w:space="0" w:color="auto"/>
            </w:tcBorders>
            <w:hideMark/>
          </w:tcPr>
          <w:p w:rsidR="00E24304" w:rsidRDefault="00E24304" w:rsidP="00D729AA">
            <w:pPr>
              <w:tabs>
                <w:tab w:val="left" w:pos="1134"/>
              </w:tabs>
              <w:jc w:val="center"/>
              <w:rPr>
                <w:noProof/>
                <w:lang w:eastAsia="ru-RU"/>
              </w:rPr>
            </w:pPr>
            <w:r>
              <w:rPr>
                <w:noProof/>
              </w:rPr>
              <w:t>2027 рік</w:t>
            </w:r>
          </w:p>
        </w:tc>
        <w:tc>
          <w:tcPr>
            <w:tcW w:w="1241" w:type="dxa"/>
            <w:tcBorders>
              <w:top w:val="single" w:sz="4" w:space="0" w:color="auto"/>
              <w:left w:val="single" w:sz="4" w:space="0" w:color="auto"/>
              <w:bottom w:val="single" w:sz="4" w:space="0" w:color="auto"/>
              <w:right w:val="single" w:sz="4" w:space="0" w:color="auto"/>
            </w:tcBorders>
            <w:hideMark/>
          </w:tcPr>
          <w:p w:rsidR="00E24304" w:rsidRDefault="00E24304" w:rsidP="00D729AA">
            <w:pPr>
              <w:tabs>
                <w:tab w:val="left" w:pos="1134"/>
              </w:tabs>
              <w:jc w:val="center"/>
              <w:rPr>
                <w:noProof/>
                <w:lang w:eastAsia="ru-RU"/>
              </w:rPr>
            </w:pPr>
            <w:r>
              <w:rPr>
                <w:noProof/>
              </w:rPr>
              <w:t>2028 рік</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tabs>
                <w:tab w:val="left" w:pos="1134"/>
              </w:tabs>
              <w:jc w:val="both"/>
              <w:rPr>
                <w:noProof/>
                <w:lang w:eastAsia="ru-RU"/>
              </w:rPr>
            </w:pPr>
            <w:r>
              <w:rPr>
                <w:noProof/>
              </w:rPr>
              <w:t>Валовий внутрішній  продукт:</w:t>
            </w:r>
          </w:p>
          <w:p w:rsidR="00E24304" w:rsidRDefault="00E24304" w:rsidP="00D729AA">
            <w:pPr>
              <w:ind w:firstLine="284"/>
              <w:jc w:val="both"/>
              <w:rPr>
                <w:noProof/>
                <w:lang w:eastAsia="ru-RU"/>
              </w:rPr>
            </w:pPr>
            <w:r>
              <w:rPr>
                <w:noProof/>
              </w:rPr>
              <w:t>номінальний, млрд грн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10 443,5</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11 920,9</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13 471,7</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tabs>
                <w:tab w:val="left" w:pos="1134"/>
              </w:tabs>
              <w:jc w:val="both"/>
              <w:rPr>
                <w:noProof/>
                <w:lang w:eastAsia="ru-RU"/>
              </w:rPr>
            </w:pPr>
            <w:r>
              <w:rPr>
                <w:noProof/>
              </w:rPr>
              <w:t>реальна зміна, відсотків до попереднього</w:t>
            </w:r>
          </w:p>
          <w:p w:rsidR="00E24304" w:rsidRDefault="00E24304" w:rsidP="00D729AA">
            <w:pPr>
              <w:tabs>
                <w:tab w:val="left" w:pos="0"/>
              </w:tabs>
              <w:ind w:firstLine="284"/>
              <w:jc w:val="both"/>
              <w:rPr>
                <w:noProof/>
                <w:lang w:eastAsia="ru-RU"/>
              </w:rPr>
            </w:pPr>
            <w:r>
              <w:rPr>
                <w:noProof/>
              </w:rPr>
              <w:t>року</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4,5</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5,0</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5,7</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ind w:firstLine="284"/>
              <w:jc w:val="both"/>
              <w:rPr>
                <w:noProof/>
                <w:lang w:eastAsia="ru-RU"/>
              </w:rPr>
            </w:pPr>
            <w:r>
              <w:rPr>
                <w:noProof/>
              </w:rPr>
              <w:t>Індекс споживчих цін:</w:t>
            </w:r>
          </w:p>
          <w:p w:rsidR="00E24304" w:rsidRDefault="00E24304" w:rsidP="00D729AA">
            <w:pPr>
              <w:jc w:val="both"/>
              <w:rPr>
                <w:noProof/>
                <w:lang w:eastAsia="ru-RU"/>
              </w:rPr>
            </w:pPr>
            <w:r>
              <w:rPr>
                <w:noProof/>
              </w:rPr>
              <w:t>у середньому до попереднього року, відсотків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109,7</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107,1</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105,6</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noProof/>
                <w:lang w:eastAsia="ru-RU"/>
              </w:rPr>
            </w:pPr>
            <w:r>
              <w:rPr>
                <w:noProof/>
              </w:rPr>
              <w:t>грудень до грудня попереднього року, відсотків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108,6</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105,9</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105,3</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noProof/>
                <w:lang w:eastAsia="ru-RU"/>
              </w:rPr>
            </w:pPr>
            <w:r>
              <w:rPr>
                <w:noProof/>
              </w:rPr>
              <w:t>Індекс цін виробників промислової продукції:</w:t>
            </w:r>
          </w:p>
          <w:p w:rsidR="00E24304" w:rsidRDefault="00E24304" w:rsidP="00D729AA">
            <w:pPr>
              <w:jc w:val="both"/>
              <w:rPr>
                <w:noProof/>
                <w:lang w:eastAsia="ru-RU"/>
              </w:rPr>
            </w:pPr>
            <w:r>
              <w:rPr>
                <w:noProof/>
              </w:rPr>
              <w:lastRenderedPageBreak/>
              <w:t>грудень до грудня попереднього року, відсотків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lastRenderedPageBreak/>
              <w:t>111,3</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109,4</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107,9</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noProof/>
                <w:lang w:eastAsia="ru-RU"/>
              </w:rPr>
            </w:pPr>
            <w:r>
              <w:rPr>
                <w:noProof/>
              </w:rPr>
              <w:lastRenderedPageBreak/>
              <w:t>Припущення прогнозу</w:t>
            </w:r>
          </w:p>
          <w:p w:rsidR="00E24304" w:rsidRDefault="00E24304" w:rsidP="00D729AA">
            <w:pPr>
              <w:jc w:val="both"/>
              <w:rPr>
                <w:noProof/>
              </w:rPr>
            </w:pPr>
            <w:r>
              <w:rPr>
                <w:noProof/>
              </w:rPr>
              <w:t>Обмінний курс гривні до долара США, гривень за долар США:</w:t>
            </w:r>
          </w:p>
          <w:p w:rsidR="00E24304" w:rsidRDefault="00E24304" w:rsidP="00D729AA">
            <w:pPr>
              <w:jc w:val="both"/>
              <w:rPr>
                <w:noProof/>
                <w:lang w:eastAsia="ru-RU"/>
              </w:rPr>
            </w:pPr>
            <w:r>
              <w:rPr>
                <w:noProof/>
              </w:rPr>
              <w:t>в середньому за період</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44,7</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45,2</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45,6</w:t>
            </w:r>
          </w:p>
        </w:tc>
      </w:tr>
      <w:tr w:rsidR="00E24304" w:rsidTr="00D729AA">
        <w:tc>
          <w:tcPr>
            <w:tcW w:w="5637"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noProof/>
                <w:lang w:eastAsia="ru-RU"/>
              </w:rPr>
            </w:pPr>
            <w:r>
              <w:rPr>
                <w:noProof/>
              </w:rPr>
              <w:t>на кінець періоду</w:t>
            </w:r>
          </w:p>
        </w:tc>
        <w:tc>
          <w:tcPr>
            <w:tcW w:w="1559"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44,8</w:t>
            </w:r>
          </w:p>
        </w:tc>
        <w:tc>
          <w:tcPr>
            <w:tcW w:w="1417"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45,3</w:t>
            </w:r>
          </w:p>
        </w:tc>
        <w:tc>
          <w:tcPr>
            <w:tcW w:w="1241" w:type="dxa"/>
            <w:tcBorders>
              <w:top w:val="single" w:sz="4" w:space="0" w:color="auto"/>
              <w:left w:val="single" w:sz="4" w:space="0" w:color="auto"/>
              <w:bottom w:val="single" w:sz="4" w:space="0" w:color="auto"/>
              <w:right w:val="single" w:sz="4" w:space="0" w:color="auto"/>
            </w:tcBorders>
            <w:vAlign w:val="bottom"/>
            <w:hideMark/>
          </w:tcPr>
          <w:p w:rsidR="00E24304" w:rsidRDefault="00E24304" w:rsidP="00D729AA">
            <w:pPr>
              <w:tabs>
                <w:tab w:val="left" w:pos="1134"/>
              </w:tabs>
              <w:jc w:val="center"/>
              <w:rPr>
                <w:noProof/>
                <w:lang w:eastAsia="ru-RU"/>
              </w:rPr>
            </w:pPr>
            <w:r>
              <w:rPr>
                <w:noProof/>
              </w:rPr>
              <w:t>45,8</w:t>
            </w:r>
          </w:p>
        </w:tc>
      </w:tr>
    </w:tbl>
    <w:p w:rsidR="00E24304" w:rsidRDefault="00E24304" w:rsidP="00E24304">
      <w:pPr>
        <w:tabs>
          <w:tab w:val="left" w:pos="1134"/>
        </w:tabs>
        <w:jc w:val="both"/>
        <w:rPr>
          <w:noProof/>
          <w:lang w:eastAsia="ru-RU"/>
        </w:rPr>
      </w:pPr>
    </w:p>
    <w:p w:rsidR="00E24304" w:rsidRDefault="00E24304" w:rsidP="00E24304">
      <w:pPr>
        <w:tabs>
          <w:tab w:val="left" w:pos="0"/>
        </w:tabs>
        <w:jc w:val="both"/>
        <w:rPr>
          <w:noProof/>
        </w:rPr>
      </w:pPr>
      <w:r>
        <w:rPr>
          <w:noProof/>
        </w:rPr>
        <w:tab/>
        <w:t>розміри мінімальної заробітної плати та посадового окладу працівника І тарифного розряду Єдиної тарифної сітки:</w:t>
      </w:r>
    </w:p>
    <w:p w:rsidR="00E24304" w:rsidRDefault="00E24304" w:rsidP="00E24304">
      <w:pPr>
        <w:tabs>
          <w:tab w:val="left" w:pos="0"/>
        </w:tabs>
        <w:jc w:val="both"/>
        <w:rPr>
          <w:noProof/>
        </w:rPr>
      </w:pPr>
      <w:r>
        <w:rPr>
          <w:noProof/>
        </w:rPr>
        <w:t>розмір мінімальної заробіної плати:</w:t>
      </w:r>
    </w:p>
    <w:p w:rsidR="00E24304" w:rsidRDefault="00E24304" w:rsidP="00E24304">
      <w:pPr>
        <w:tabs>
          <w:tab w:val="left" w:pos="0"/>
        </w:tabs>
        <w:jc w:val="both"/>
        <w:rPr>
          <w:noProof/>
        </w:rPr>
      </w:pPr>
      <w:r>
        <w:rPr>
          <w:noProof/>
        </w:rPr>
        <w:tab/>
        <w:t>з 01 січня 2026 року – 8 688 грн;</w:t>
      </w:r>
    </w:p>
    <w:p w:rsidR="00E24304" w:rsidRDefault="00E24304" w:rsidP="00E24304">
      <w:pPr>
        <w:tabs>
          <w:tab w:val="left" w:pos="0"/>
        </w:tabs>
        <w:jc w:val="both"/>
        <w:rPr>
          <w:noProof/>
        </w:rPr>
      </w:pPr>
      <w:r>
        <w:rPr>
          <w:noProof/>
        </w:rPr>
        <w:tab/>
        <w:t>з 01 січня 2027 року – 9 374 грн;</w:t>
      </w:r>
    </w:p>
    <w:p w:rsidR="00E24304" w:rsidRDefault="00E24304" w:rsidP="00E24304">
      <w:pPr>
        <w:tabs>
          <w:tab w:val="left" w:pos="0"/>
        </w:tabs>
        <w:jc w:val="both"/>
        <w:rPr>
          <w:noProof/>
        </w:rPr>
      </w:pPr>
      <w:r>
        <w:rPr>
          <w:noProof/>
        </w:rPr>
        <w:tab/>
        <w:t>з 01 січня 2028 року – 10 059 грн;</w:t>
      </w:r>
    </w:p>
    <w:p w:rsidR="00E24304" w:rsidRDefault="00E24304" w:rsidP="00E24304">
      <w:pPr>
        <w:tabs>
          <w:tab w:val="left" w:pos="0"/>
        </w:tabs>
        <w:jc w:val="both"/>
        <w:rPr>
          <w:noProof/>
        </w:rPr>
      </w:pPr>
      <w:r>
        <w:rPr>
          <w:noProof/>
        </w:rPr>
        <w:tab/>
        <w:t>розмір посадового окладу працівника І тарифного розряду Єдиної тарифної сітки:</w:t>
      </w:r>
    </w:p>
    <w:p w:rsidR="00E24304" w:rsidRDefault="00E24304" w:rsidP="00E24304">
      <w:pPr>
        <w:tabs>
          <w:tab w:val="left" w:pos="0"/>
        </w:tabs>
        <w:jc w:val="both"/>
        <w:rPr>
          <w:noProof/>
        </w:rPr>
      </w:pPr>
      <w:r>
        <w:rPr>
          <w:noProof/>
        </w:rPr>
        <w:tab/>
        <w:t>з 01 січня 2026 року – 3 470 грн;</w:t>
      </w:r>
    </w:p>
    <w:p w:rsidR="00E24304" w:rsidRDefault="00E24304" w:rsidP="00E24304">
      <w:pPr>
        <w:tabs>
          <w:tab w:val="left" w:pos="0"/>
        </w:tabs>
        <w:jc w:val="both"/>
        <w:rPr>
          <w:noProof/>
        </w:rPr>
      </w:pPr>
      <w:r>
        <w:rPr>
          <w:noProof/>
        </w:rPr>
        <w:tab/>
        <w:t>з 01 січня 2027 року – 3 744 грн;</w:t>
      </w:r>
    </w:p>
    <w:p w:rsidR="00E24304" w:rsidRDefault="00E24304" w:rsidP="00E24304">
      <w:pPr>
        <w:tabs>
          <w:tab w:val="left" w:pos="0"/>
        </w:tabs>
        <w:jc w:val="both"/>
        <w:rPr>
          <w:noProof/>
        </w:rPr>
      </w:pPr>
      <w:r>
        <w:rPr>
          <w:noProof/>
        </w:rPr>
        <w:tab/>
        <w:t>з 01 січня 2028 року – 4 018 грн.</w:t>
      </w:r>
    </w:p>
    <w:p w:rsidR="00E24304" w:rsidRDefault="00E24304" w:rsidP="00E24304">
      <w:pPr>
        <w:ind w:firstLine="709"/>
        <w:jc w:val="both"/>
        <w:rPr>
          <w:noProof/>
        </w:rPr>
      </w:pPr>
    </w:p>
    <w:p w:rsidR="00E24304" w:rsidRDefault="00E24304" w:rsidP="00E24304">
      <w:pPr>
        <w:tabs>
          <w:tab w:val="left" w:pos="1134"/>
        </w:tabs>
        <w:ind w:firstLine="567"/>
        <w:jc w:val="both"/>
        <w:rPr>
          <w:noProof/>
        </w:rPr>
      </w:pPr>
    </w:p>
    <w:p w:rsidR="00E24304" w:rsidRDefault="00E24304" w:rsidP="00E24304">
      <w:pPr>
        <w:tabs>
          <w:tab w:val="left" w:pos="1134"/>
        </w:tabs>
        <w:ind w:firstLine="567"/>
        <w:jc w:val="center"/>
        <w:rPr>
          <w:b/>
          <w:noProof/>
        </w:rPr>
      </w:pPr>
      <w:r>
        <w:rPr>
          <w:b/>
          <w:noProof/>
        </w:rPr>
        <w:t>ІІІ. Загальні показники бюджету</w:t>
      </w:r>
    </w:p>
    <w:p w:rsidR="00E24304" w:rsidRDefault="00E24304" w:rsidP="00E24304">
      <w:pPr>
        <w:tabs>
          <w:tab w:val="left" w:pos="1134"/>
        </w:tabs>
        <w:ind w:firstLine="567"/>
        <w:jc w:val="both"/>
        <w:rPr>
          <w:bCs/>
          <w:noProof/>
        </w:rPr>
      </w:pPr>
      <w:r>
        <w:rPr>
          <w:bCs/>
          <w:noProof/>
        </w:rPr>
        <w:t>Наведені прогнозні показники бюджету Рахівської міської територіальної громади на 2026—2028 роки, розраховані в умовах воєнного часу, високої невизначеності під час постійних змін зовнішніх та внутрішніх умов економічного розвитку, є оцінкою в режимі реального часу і з огляду на поточну мінливість соціально-економічної ситуації можуть бути уточнені та переглянуті як у бік покращення, так і в бік погіршення.</w:t>
      </w:r>
    </w:p>
    <w:p w:rsidR="00E24304" w:rsidRDefault="00E24304" w:rsidP="00E24304">
      <w:pPr>
        <w:tabs>
          <w:tab w:val="left" w:pos="1134"/>
        </w:tabs>
        <w:ind w:firstLine="567"/>
        <w:jc w:val="both"/>
        <w:rPr>
          <w:noProof/>
        </w:rPr>
      </w:pPr>
      <w:r>
        <w:rPr>
          <w:noProof/>
        </w:rPr>
        <w:t>Прогноз бюджету включає прогнозні показники за основними видами доходів, видатків, кредитування та фінансування, взаємовідносинами бюджету з бюджетами інших рівнів</w:t>
      </w:r>
      <w:r>
        <w:t xml:space="preserve">  та </w:t>
      </w:r>
      <w:r>
        <w:rPr>
          <w:noProof/>
        </w:rPr>
        <w:t>визначені у додатку №1 до цього Прогнозу</w:t>
      </w:r>
    </w:p>
    <w:p w:rsidR="00E24304" w:rsidRDefault="00E24304" w:rsidP="00E24304">
      <w:pPr>
        <w:tabs>
          <w:tab w:val="left" w:pos="1134"/>
        </w:tabs>
        <w:ind w:firstLine="567"/>
        <w:jc w:val="both"/>
        <w:rPr>
          <w:b/>
          <w:noProof/>
        </w:rPr>
      </w:pPr>
    </w:p>
    <w:p w:rsidR="00E24304" w:rsidRDefault="00E24304" w:rsidP="00E24304">
      <w:pPr>
        <w:tabs>
          <w:tab w:val="left" w:pos="1134"/>
        </w:tabs>
        <w:ind w:firstLine="567"/>
        <w:jc w:val="center"/>
        <w:rPr>
          <w:noProof/>
        </w:rPr>
      </w:pPr>
      <w:r>
        <w:rPr>
          <w:b/>
          <w:noProof/>
        </w:rPr>
        <w:t>ІV. Показники доходів бюджету  Рахівської міської територіальної громади</w:t>
      </w:r>
      <w:r>
        <w:t xml:space="preserve"> </w:t>
      </w:r>
      <w:r>
        <w:rPr>
          <w:b/>
          <w:noProof/>
        </w:rPr>
        <w:t>на 2026-2028 роки</w:t>
      </w:r>
    </w:p>
    <w:p w:rsidR="00E24304" w:rsidRDefault="00E24304" w:rsidP="00E24304">
      <w:pPr>
        <w:tabs>
          <w:tab w:val="left" w:pos="1134"/>
        </w:tabs>
        <w:ind w:firstLine="567"/>
        <w:jc w:val="both"/>
        <w:rPr>
          <w:noProof/>
        </w:rPr>
      </w:pPr>
      <w:r>
        <w:rPr>
          <w:noProof/>
        </w:rPr>
        <w:t>В Прогнозі дохідної частини взято до уваги наступні індикативні показники, доведені державою:</w:t>
      </w:r>
    </w:p>
    <w:p w:rsidR="00E24304" w:rsidRDefault="00E24304" w:rsidP="00E24304">
      <w:pPr>
        <w:tabs>
          <w:tab w:val="left" w:pos="1134"/>
        </w:tabs>
        <w:ind w:firstLine="567"/>
        <w:jc w:val="both"/>
        <w:rPr>
          <w:bCs/>
          <w:noProof/>
        </w:rPr>
      </w:pPr>
      <w:r>
        <w:rPr>
          <w:b/>
          <w:noProof/>
        </w:rPr>
        <w:t>- </w:t>
      </w:r>
      <w:r>
        <w:rPr>
          <w:bCs/>
          <w:noProof/>
        </w:rPr>
        <w:t>зростання мінімальної заробітної плати на початок бюджетного року  (з 1 січня 2026 року-8 688 грн,  з 1 січня 2027 року-9 374,00 грн, з 1 січня 2028 року-10 059 грн);</w:t>
      </w:r>
    </w:p>
    <w:p w:rsidR="00E24304" w:rsidRDefault="00E24304" w:rsidP="00E24304">
      <w:pPr>
        <w:tabs>
          <w:tab w:val="left" w:pos="1134"/>
        </w:tabs>
        <w:ind w:firstLine="567"/>
        <w:jc w:val="both"/>
        <w:rPr>
          <w:bCs/>
          <w:noProof/>
        </w:rPr>
      </w:pPr>
      <w:r>
        <w:rPr>
          <w:bCs/>
          <w:noProof/>
        </w:rPr>
        <w:t>- зростання прожиткового мінімуму для працездатних осіб (з 1 січня 2026 року –3 288,00 грн, з 1 січня 2027 року – 3 482,00 грн, з 1 січня 2028 року – 3 667,00 грн), та пов’язану з ними зміну ставок ряду податків : (ПДФО, єдиного податку, податку на нерухомість, земельного податку, туристичного збору) та інших надходжень (адміністративних зборів, держмита, тощо);</w:t>
      </w:r>
    </w:p>
    <w:p w:rsidR="00E24304" w:rsidRDefault="00E24304" w:rsidP="00E24304">
      <w:pPr>
        <w:tabs>
          <w:tab w:val="left" w:pos="1134"/>
        </w:tabs>
        <w:ind w:firstLine="567"/>
        <w:jc w:val="both"/>
        <w:rPr>
          <w:bCs/>
          <w:noProof/>
        </w:rPr>
      </w:pPr>
      <w:r>
        <w:rPr>
          <w:bCs/>
          <w:noProof/>
        </w:rPr>
        <w:t>- зростання ВВП на рівні держави, у % до попереднього року : 2026 – 104,5 відсотків, 2027 - 105,0 відсотків та 2028 – 105,7 відсотків;</w:t>
      </w:r>
    </w:p>
    <w:p w:rsidR="00E24304" w:rsidRDefault="00E24304" w:rsidP="00E24304">
      <w:pPr>
        <w:tabs>
          <w:tab w:val="left" w:pos="1134"/>
        </w:tabs>
        <w:ind w:firstLine="567"/>
        <w:jc w:val="both"/>
        <w:rPr>
          <w:bCs/>
          <w:noProof/>
        </w:rPr>
      </w:pPr>
      <w:r>
        <w:rPr>
          <w:bCs/>
          <w:noProof/>
        </w:rPr>
        <w:t>- зростання індексу споживчих цін на рівні держави у середньому до попереднього року: 2026 – 109,7 відсотків, 2027 – 107,1 відсотків та 2028 – 105,6 відсотки;</w:t>
      </w:r>
    </w:p>
    <w:p w:rsidR="00E24304" w:rsidRDefault="00E24304" w:rsidP="00E24304">
      <w:pPr>
        <w:tabs>
          <w:tab w:val="left" w:pos="1134"/>
        </w:tabs>
        <w:ind w:firstLine="567"/>
        <w:jc w:val="both"/>
        <w:rPr>
          <w:bCs/>
          <w:noProof/>
        </w:rPr>
      </w:pPr>
      <w:r>
        <w:rPr>
          <w:bCs/>
          <w:noProof/>
        </w:rPr>
        <w:t>- обмінний курс гривні до долара США в середньому : 2026 – 44,7 грн, 2027 – 45,2 грн, 2028  - 45,6 грн, а також на кінець року (відповідно  44,8 грн, 45,3 грн та 45,8 грн).</w:t>
      </w:r>
    </w:p>
    <w:p w:rsidR="00E24304" w:rsidRDefault="00E24304" w:rsidP="00E24304">
      <w:pPr>
        <w:tabs>
          <w:tab w:val="left" w:pos="1134"/>
        </w:tabs>
        <w:ind w:firstLine="567"/>
        <w:jc w:val="both"/>
        <w:rPr>
          <w:noProof/>
        </w:rPr>
      </w:pPr>
      <w:r>
        <w:rPr>
          <w:noProof/>
        </w:rPr>
        <w:t>Враховано динаміку економічних індикаторів економічного і соціального розвитку Рахівської міської територіальної громади на 2026-2028 роки, а саме, зростання обсягу реалізованої продукції та послуг, роздрібного товарообороту, середньооблікової чисельності працівників, працюючих у сфері підприємництва та ін.</w:t>
      </w:r>
    </w:p>
    <w:p w:rsidR="00E24304" w:rsidRDefault="00E24304" w:rsidP="00E24304">
      <w:pPr>
        <w:tabs>
          <w:tab w:val="left" w:pos="1134"/>
        </w:tabs>
        <w:ind w:firstLine="567"/>
        <w:jc w:val="both"/>
        <w:rPr>
          <w:noProof/>
        </w:rPr>
      </w:pPr>
      <w:r>
        <w:rPr>
          <w:noProof/>
        </w:rPr>
        <w:t xml:space="preserve">При обрахунку надходжень до бюджету взято до уваги норми Податкового та Бюджетного кодексів України, чинних рішень Рахівської міської ради: «Про встановлення </w:t>
      </w:r>
      <w:r>
        <w:rPr>
          <w:noProof/>
        </w:rPr>
        <w:lastRenderedPageBreak/>
        <w:t>ставок та пільг із сплати податку на нерухоме майно, відмінне від земельної ділянки на 2026 рок» від 24 червня 2025 року № 1062; «Про встановлення ставок та пільг із сплати земельного податку на 2026 ріук» від 24 червня 2025 року №1064; «Про затвердження ставок туристичного збору на території Рахівської міської територіальної громади на 2026 рік»; від 24 червня 2025 року №1063; «Про встановлення ставок із сплати єдиного податку на 2026 рік» від 24 червня 2025 року №1061,  інших нормативно-правових актів з питань оподаткування, тощо.</w:t>
      </w:r>
    </w:p>
    <w:p w:rsidR="00E24304" w:rsidRDefault="00E24304" w:rsidP="00E24304">
      <w:pPr>
        <w:ind w:firstLine="567"/>
        <w:jc w:val="both"/>
        <w:rPr>
          <w:bCs/>
          <w:noProof/>
        </w:rPr>
      </w:pPr>
      <w:r>
        <w:rPr>
          <w:bCs/>
          <w:noProof/>
        </w:rPr>
        <w:t>В результаті прогноз власних доходів бюджету загального та спеціального фондів (без урахування міжбюджетних трансфертів) на 2026 рік визначено в сумі 127 070 200,00 грн,  на 2027 рік – 141 771 870,00 грн, на 2028 рік – 150 433 900,00 грн.</w:t>
      </w:r>
    </w:p>
    <w:p w:rsidR="00E24304" w:rsidRDefault="00E24304" w:rsidP="00E24304">
      <w:pPr>
        <w:ind w:firstLine="567"/>
        <w:jc w:val="both"/>
        <w:rPr>
          <w:bCs/>
          <w:noProof/>
        </w:rPr>
      </w:pPr>
      <w:r>
        <w:rPr>
          <w:bCs/>
          <w:noProof/>
        </w:rPr>
        <w:t xml:space="preserve"> Обсяг загального фонду місцевого бюджету визначено</w:t>
      </w:r>
      <w:r>
        <w:t xml:space="preserve"> </w:t>
      </w:r>
      <w:r>
        <w:rPr>
          <w:bCs/>
          <w:noProof/>
        </w:rPr>
        <w:t>на 2026 рік 122 814 800,00 грн., на 2027 рік – 137 346 870,00 грн, на 2028 рік – 145 865 200,00 грн.</w:t>
      </w:r>
    </w:p>
    <w:p w:rsidR="00E24304" w:rsidRDefault="00E24304" w:rsidP="00E24304">
      <w:pPr>
        <w:ind w:firstLine="567"/>
        <w:jc w:val="both"/>
        <w:rPr>
          <w:bCs/>
          <w:noProof/>
        </w:rPr>
      </w:pPr>
      <w:r>
        <w:rPr>
          <w:bCs/>
          <w:noProof/>
        </w:rPr>
        <w:t xml:space="preserve">Обсяг спеціального фонду місцевого бюджету визначено на 2026 рік 4 255 400,00 грн., на 2027 рік – 4 425 000,00 грн, на 2028 рік – 4 568 700,00 грн.       </w:t>
      </w:r>
    </w:p>
    <w:p w:rsidR="00E24304" w:rsidRDefault="00E24304" w:rsidP="00E24304">
      <w:pPr>
        <w:ind w:firstLine="567"/>
        <w:jc w:val="both"/>
        <w:rPr>
          <w:bCs/>
          <w:noProof/>
        </w:rPr>
      </w:pPr>
      <w:r>
        <w:rPr>
          <w:bCs/>
          <w:noProof/>
        </w:rPr>
        <w:t>Основним бюджетоформуючим джерелом дохідної бази залишається податок на доходи фізичних осіб (ПДФО), питома вага якого щорічно складатиме близько 91,0%. При його обрахунку взято до уваги частку зарахування до бюджетів громад, а саме, 60% замість 64%, а також відновлення починаючи з 2027 року зарахування  так званого силового ПДФО (за КБК 11010200), ріст мінімальної зарплати на рівні держави та середньомісячної заробітної плати по громаді, тощо. Враховано  надходження ПДФО за новими кодами: ПДФО у вигляді мінімального податкового зобов’язання, податок на доходи фізичних осіб із доходів спеціалстів резидента Дія Сіті, тощо.</w:t>
      </w:r>
    </w:p>
    <w:p w:rsidR="00E24304" w:rsidRDefault="00E24304" w:rsidP="00E24304">
      <w:pPr>
        <w:ind w:firstLine="567"/>
        <w:jc w:val="both"/>
        <w:rPr>
          <w:bCs/>
          <w:noProof/>
        </w:rPr>
      </w:pPr>
      <w:r>
        <w:rPr>
          <w:bCs/>
          <w:noProof/>
        </w:rPr>
        <w:t>Відтак, прогнозні обсяги ПДФО на 2026-2028 роки до бюджету громади складуть 118 831 000,00 грн, 133 178 070,00 грн  та 141 559 400,00 грн відповідно. Щорічний приріст до попереднього року становитиме: у 2026 році – 94,7 %, у 2027 році – 112,1 %, у 2028 році – 106,3% .</w:t>
      </w:r>
    </w:p>
    <w:p w:rsidR="00E24304" w:rsidRDefault="00E24304" w:rsidP="00E24304">
      <w:pPr>
        <w:ind w:firstLine="567"/>
        <w:jc w:val="both"/>
        <w:rPr>
          <w:bCs/>
          <w:noProof/>
        </w:rPr>
      </w:pPr>
      <w:r>
        <w:rPr>
          <w:bCs/>
          <w:noProof/>
        </w:rPr>
        <w:t>Місцеві податки і збори становитимуть 23 371 360,00 грн, 27 721 040,00 грн та 29 311 620,00 грн відповідно, основну питому вагу яких складуть єдиний податок та податок на майно.</w:t>
      </w:r>
    </w:p>
    <w:p w:rsidR="00E24304" w:rsidRDefault="00E24304" w:rsidP="00E24304">
      <w:pPr>
        <w:ind w:firstLine="567"/>
        <w:jc w:val="both"/>
        <w:rPr>
          <w:bCs/>
          <w:noProof/>
        </w:rPr>
      </w:pPr>
      <w:r>
        <w:rPr>
          <w:bCs/>
          <w:noProof/>
        </w:rPr>
        <w:t>Відповідно, податок на майно у 2026-2028 роках складе 9 398 140,00 грн, 13 072 560,00 грн та 13 981 920,00 грн.</w:t>
      </w:r>
    </w:p>
    <w:p w:rsidR="00E24304" w:rsidRDefault="00E24304" w:rsidP="00E24304">
      <w:pPr>
        <w:ind w:firstLine="567"/>
        <w:jc w:val="both"/>
        <w:rPr>
          <w:bCs/>
          <w:noProof/>
        </w:rPr>
      </w:pPr>
      <w:r>
        <w:rPr>
          <w:bCs/>
          <w:noProof/>
        </w:rPr>
        <w:t xml:space="preserve">Надходження єдиного податку щорічно зростатимуть та становитимуть 13 956 540,00 грн, 14 630 470,00 грн та 15 310 430,00 грн, в основному, за рахунок росту мінімальної заробітної плати, прожиткового мінімуму для працездатних осіб. </w:t>
      </w:r>
    </w:p>
    <w:p w:rsidR="00E24304" w:rsidRDefault="00E24304" w:rsidP="00E24304">
      <w:pPr>
        <w:ind w:firstLine="567"/>
        <w:jc w:val="both"/>
        <w:rPr>
          <w:bCs/>
          <w:noProof/>
        </w:rPr>
      </w:pPr>
      <w:r>
        <w:rPr>
          <w:bCs/>
          <w:noProof/>
        </w:rPr>
        <w:t xml:space="preserve">Вагомими дохідними джерелами стануть надходження акцизного податку, зокрема, відрахування із ввезеного в Україну та виробленого в Україні пального, з реалізації суб’єктами господарювання роздрібної торгівлі підакцизних товарів, надходження яких щорічно зростатимуть внаслідок поетапного збільшення акцизів на пальне та тютюнові вироби та діяльності держави в напрямку детінізації. </w:t>
      </w:r>
    </w:p>
    <w:p w:rsidR="00E24304" w:rsidRDefault="00E24304" w:rsidP="00E24304">
      <w:pPr>
        <w:ind w:firstLine="567"/>
        <w:jc w:val="both"/>
        <w:rPr>
          <w:bCs/>
          <w:noProof/>
        </w:rPr>
      </w:pPr>
      <w:r>
        <w:rPr>
          <w:bCs/>
          <w:noProof/>
        </w:rPr>
        <w:t>Щодо інших податків то прогнозні показники надходжень на 2026-2028 роки визначені на підставі розрахунків, проведених виходячи з наявного контингенту платників, з урахуванням норма податкового та бюджетного законодавства, що регламентують справляння відповідних платежів до бюджету громади.</w:t>
      </w:r>
    </w:p>
    <w:p w:rsidR="00E24304" w:rsidRDefault="00E24304" w:rsidP="00E24304">
      <w:pPr>
        <w:ind w:firstLine="567"/>
        <w:jc w:val="both"/>
        <w:rPr>
          <w:bCs/>
          <w:noProof/>
        </w:rPr>
      </w:pPr>
      <w:r>
        <w:rPr>
          <w:bCs/>
          <w:noProof/>
        </w:rPr>
        <w:t>Серед неподаткових надходжень найбільшу бюджетоформуючу функцію у 2026-2028 роках виконуватимуть власні надходження бюджетних установ, кошти від продажу майна та ін.</w:t>
      </w:r>
    </w:p>
    <w:p w:rsidR="00E24304" w:rsidRDefault="00E24304" w:rsidP="00E24304">
      <w:pPr>
        <w:tabs>
          <w:tab w:val="left" w:pos="1134"/>
        </w:tabs>
        <w:ind w:firstLine="567"/>
        <w:jc w:val="both"/>
        <w:rPr>
          <w:noProof/>
        </w:rPr>
      </w:pPr>
      <w:r>
        <w:rPr>
          <w:noProof/>
        </w:rPr>
        <w:t>Доходи бюджету Рахівської міської територіальної громади на 2026-2028 роки визначені у додатку №2 до цього Прогнозу.</w:t>
      </w:r>
    </w:p>
    <w:p w:rsidR="00E24304" w:rsidRDefault="00E24304" w:rsidP="00E24304">
      <w:pPr>
        <w:tabs>
          <w:tab w:val="left" w:pos="1134"/>
        </w:tabs>
        <w:ind w:firstLine="567"/>
        <w:jc w:val="both"/>
        <w:rPr>
          <w:noProof/>
        </w:rPr>
      </w:pPr>
    </w:p>
    <w:p w:rsidR="00E24304" w:rsidRDefault="00E24304" w:rsidP="00E24304">
      <w:pPr>
        <w:tabs>
          <w:tab w:val="left" w:pos="1134"/>
        </w:tabs>
        <w:ind w:firstLine="567"/>
        <w:jc w:val="center"/>
        <w:rPr>
          <w:b/>
          <w:noProof/>
        </w:rPr>
      </w:pPr>
      <w:r>
        <w:rPr>
          <w:b/>
          <w:iCs/>
          <w:noProof/>
        </w:rPr>
        <w:t>Перелік заходів, що планується вжити для розширення бази оподаткування та залучення додаткових надходжень до бюджету Рахівської міської територіальної громади</w:t>
      </w:r>
    </w:p>
    <w:p w:rsidR="00E24304" w:rsidRDefault="00E24304" w:rsidP="00E24304">
      <w:pPr>
        <w:tabs>
          <w:tab w:val="left" w:pos="1134"/>
        </w:tabs>
        <w:ind w:firstLine="567"/>
        <w:jc w:val="both"/>
        <w:rPr>
          <w:noProof/>
        </w:rPr>
      </w:pPr>
      <w:r>
        <w:rPr>
          <w:noProof/>
        </w:rPr>
        <w:lastRenderedPageBreak/>
        <w:t>1. Забезпечення всіма учасниками бюджетного процесу (виконавчими органами Рахівської міської ради та іншими контролюючими органами) виконання запланованих показників надходжень доходів до бюджету Рахівської міської територіальної громади, врахування основних положень бюджетно-податкової політики, дотримання жорсткої фінансової дисципліни, підвищення рівня прозорості бюджетного процесу.</w:t>
      </w:r>
    </w:p>
    <w:p w:rsidR="00E24304" w:rsidRDefault="00E24304" w:rsidP="00E24304">
      <w:pPr>
        <w:tabs>
          <w:tab w:val="left" w:pos="1134"/>
        </w:tabs>
        <w:ind w:firstLine="567"/>
        <w:jc w:val="both"/>
        <w:rPr>
          <w:noProof/>
        </w:rPr>
      </w:pPr>
      <w:r>
        <w:rPr>
          <w:noProof/>
        </w:rPr>
        <w:t>2. Здійснення моніторингу щодо розміру місцевих податків по бюджетах інших громад, які за чисельністю населення прирівняні до Рахівської міської територіальної громади, та приведення їх до рівня усереднених значень.</w:t>
      </w:r>
    </w:p>
    <w:p w:rsidR="00E24304" w:rsidRDefault="00E24304" w:rsidP="00E24304">
      <w:pPr>
        <w:tabs>
          <w:tab w:val="left" w:pos="1134"/>
        </w:tabs>
        <w:ind w:firstLine="567"/>
        <w:jc w:val="both"/>
        <w:rPr>
          <w:noProof/>
        </w:rPr>
      </w:pPr>
      <w:r>
        <w:rPr>
          <w:noProof/>
        </w:rPr>
        <w:t>3. Вжиття заходів щодо організації своєчасного затвердження та перегляду ставок місцевих податків згідно з чинним законодавством.</w:t>
      </w:r>
    </w:p>
    <w:p w:rsidR="00E24304" w:rsidRDefault="00E24304" w:rsidP="00E24304">
      <w:pPr>
        <w:tabs>
          <w:tab w:val="left" w:pos="1134"/>
        </w:tabs>
        <w:ind w:firstLine="567"/>
        <w:jc w:val="both"/>
        <w:rPr>
          <w:noProof/>
        </w:rPr>
      </w:pPr>
      <w:r>
        <w:rPr>
          <w:noProof/>
        </w:rPr>
        <w:t>4. Продаж/оренда комунального майна через електронні аукціони в електронній торговій системі з метою залучення більш широкого кола потенційних покупців/орендарів.</w:t>
      </w:r>
    </w:p>
    <w:p w:rsidR="00E24304" w:rsidRDefault="00E24304" w:rsidP="00E24304">
      <w:pPr>
        <w:tabs>
          <w:tab w:val="left" w:pos="1134"/>
        </w:tabs>
        <w:ind w:firstLine="567"/>
        <w:jc w:val="both"/>
        <w:rPr>
          <w:noProof/>
        </w:rPr>
      </w:pPr>
      <w:r>
        <w:rPr>
          <w:noProof/>
        </w:rPr>
        <w:t>5. Залучення додаткових коштів до бюджету шляхом розміщення тимчасово вільних коштів на депозитних рахунках в установах банків, визначених на конкурсних засадах відповідно до порядку, встановленого чинним законодавством.</w:t>
      </w:r>
    </w:p>
    <w:p w:rsidR="00E24304" w:rsidRDefault="00E24304" w:rsidP="00E24304">
      <w:pPr>
        <w:tabs>
          <w:tab w:val="left" w:pos="1134"/>
        </w:tabs>
        <w:ind w:firstLine="567"/>
        <w:jc w:val="both"/>
        <w:rPr>
          <w:noProof/>
        </w:rPr>
      </w:pPr>
      <w:r>
        <w:rPr>
          <w:noProof/>
        </w:rPr>
        <w:t xml:space="preserve">6. Забезпечення економного режиму використання енергоносіїв, спрямування бюджетних коштів на впровадження енергоефективних та енергозберігаючих проєктів в бюджетній сфері громади. </w:t>
      </w:r>
    </w:p>
    <w:p w:rsidR="00E24304" w:rsidRDefault="00E24304" w:rsidP="00E24304">
      <w:pPr>
        <w:tabs>
          <w:tab w:val="left" w:pos="1134"/>
        </w:tabs>
        <w:ind w:firstLine="567"/>
        <w:jc w:val="both"/>
        <w:rPr>
          <w:noProof/>
        </w:rPr>
      </w:pPr>
      <w:r>
        <w:rPr>
          <w:noProof/>
        </w:rPr>
        <w:t>7. Застосування контролюючими органами всього комплексу заходів, передбачених законодавством, для стягнення податкового боргу до бюджету громади, в тому числі у судовому порядку.</w:t>
      </w:r>
    </w:p>
    <w:p w:rsidR="00E24304" w:rsidRDefault="00E24304" w:rsidP="00E24304">
      <w:pPr>
        <w:tabs>
          <w:tab w:val="left" w:pos="1134"/>
        </w:tabs>
        <w:ind w:firstLine="567"/>
        <w:jc w:val="both"/>
        <w:rPr>
          <w:noProof/>
        </w:rPr>
      </w:pPr>
      <w:r>
        <w:rPr>
          <w:noProof/>
        </w:rPr>
        <w:t xml:space="preserve">8. Прискорення економічного зростання шляхом створення сприятливого інвестиційного клімату, отримання високого рівня кредитного рейтингу громади та рейтингу інвестиційної привабливості громади для залучення інвестицій. </w:t>
      </w:r>
    </w:p>
    <w:p w:rsidR="00E24304" w:rsidRDefault="00E24304" w:rsidP="00E24304">
      <w:pPr>
        <w:tabs>
          <w:tab w:val="left" w:pos="1134"/>
        </w:tabs>
        <w:ind w:firstLine="567"/>
        <w:jc w:val="both"/>
        <w:rPr>
          <w:noProof/>
        </w:rPr>
      </w:pPr>
      <w:r>
        <w:rPr>
          <w:noProof/>
        </w:rPr>
        <w:t>9. Продовження податковими та іншими контролюючими органами (відповідно до наданих повноважень) проведення фактичних перевірок щодо дотримання законодавства про працю на підприємствах, установах та організаціях усіх форм власності, зокрема, з питань належного оформлення трудових відносин з найманими працівниками, офіційної виплати заробітної плати і сплати до бюджету міської територіальної громади податку на доходи фізичних осіб.</w:t>
      </w:r>
    </w:p>
    <w:p w:rsidR="00E24304" w:rsidRDefault="00E24304" w:rsidP="00E24304">
      <w:pPr>
        <w:tabs>
          <w:tab w:val="left" w:pos="1134"/>
        </w:tabs>
        <w:ind w:firstLine="567"/>
        <w:jc w:val="both"/>
        <w:rPr>
          <w:noProof/>
        </w:rPr>
      </w:pPr>
      <w:r>
        <w:rPr>
          <w:noProof/>
        </w:rPr>
        <w:t>10. Забезпечення прозорості податкової системи, яка передбачає максимально чітке і несуперечливе формування норм податкового права і базується на наступних принципах:</w:t>
      </w:r>
    </w:p>
    <w:p w:rsidR="00E24304" w:rsidRDefault="00E24304" w:rsidP="00E24304">
      <w:pPr>
        <w:tabs>
          <w:tab w:val="left" w:pos="1134"/>
        </w:tabs>
        <w:ind w:firstLine="567"/>
        <w:jc w:val="both"/>
        <w:rPr>
          <w:noProof/>
        </w:rPr>
      </w:pPr>
      <w:r>
        <w:rPr>
          <w:noProof/>
        </w:rPr>
        <w:t>- інформування громадськості, яке реалізовується через засоби масової інформації, щодо завдань, напрямів та результатів діяльності ГУ ДПС у Закарпатській області;</w:t>
      </w:r>
    </w:p>
    <w:p w:rsidR="00E24304" w:rsidRDefault="00E24304" w:rsidP="00E24304">
      <w:pPr>
        <w:tabs>
          <w:tab w:val="left" w:pos="1134"/>
        </w:tabs>
        <w:ind w:firstLine="567"/>
        <w:jc w:val="both"/>
        <w:rPr>
          <w:noProof/>
        </w:rPr>
      </w:pPr>
      <w:r>
        <w:rPr>
          <w:noProof/>
        </w:rPr>
        <w:t>- проведення семінарів, публічного інформування платників податків  щодо норм Податкового кодексу України;</w:t>
      </w:r>
    </w:p>
    <w:p w:rsidR="00E24304" w:rsidRDefault="00E24304" w:rsidP="00E24304">
      <w:pPr>
        <w:tabs>
          <w:tab w:val="left" w:pos="1134"/>
        </w:tabs>
        <w:ind w:firstLine="567"/>
        <w:jc w:val="both"/>
        <w:rPr>
          <w:noProof/>
        </w:rPr>
      </w:pPr>
      <w:r>
        <w:rPr>
          <w:noProof/>
        </w:rPr>
        <w:t>- спрощення обслуговування платників через електронні сервіси, що  дозволяє платникам податків уникнути зайвих витрат часу та отримати необхідну інформацію;</w:t>
      </w:r>
    </w:p>
    <w:p w:rsidR="00E24304" w:rsidRDefault="00E24304" w:rsidP="00E24304">
      <w:pPr>
        <w:tabs>
          <w:tab w:val="left" w:pos="1134"/>
        </w:tabs>
        <w:ind w:firstLine="567"/>
        <w:jc w:val="both"/>
        <w:rPr>
          <w:noProof/>
        </w:rPr>
      </w:pPr>
      <w:r>
        <w:rPr>
          <w:noProof/>
        </w:rPr>
        <w:t>- забезпечення чіткості правил оподаткування, уніфікації та зрозумілості термінології.</w:t>
      </w:r>
    </w:p>
    <w:p w:rsidR="00E24304" w:rsidRDefault="00E24304" w:rsidP="00E24304">
      <w:pPr>
        <w:tabs>
          <w:tab w:val="left" w:pos="1134"/>
        </w:tabs>
        <w:ind w:firstLine="567"/>
        <w:jc w:val="both"/>
        <w:rPr>
          <w:b/>
          <w:bCs/>
          <w:iCs/>
          <w:noProof/>
        </w:rPr>
      </w:pPr>
      <w:r>
        <w:rPr>
          <w:b/>
          <w:bCs/>
          <w:iCs/>
          <w:noProof/>
        </w:rPr>
        <w:t>Можливі ризики невиконання прогнозованих показників по доходній частині бюджету Рахівської міської територіальної громади:</w:t>
      </w:r>
    </w:p>
    <w:p w:rsidR="00E24304" w:rsidRDefault="00E24304" w:rsidP="00E24304">
      <w:pPr>
        <w:tabs>
          <w:tab w:val="left" w:pos="1134"/>
        </w:tabs>
        <w:ind w:firstLine="567"/>
        <w:jc w:val="both"/>
        <w:rPr>
          <w:noProof/>
        </w:rPr>
      </w:pPr>
      <w:r>
        <w:rPr>
          <w:noProof/>
        </w:rPr>
        <w:t>- російська агресія та продовження бойових дій на території України;</w:t>
      </w:r>
    </w:p>
    <w:p w:rsidR="00E24304" w:rsidRDefault="00E24304" w:rsidP="00E24304">
      <w:pPr>
        <w:tabs>
          <w:tab w:val="left" w:pos="1134"/>
        </w:tabs>
        <w:ind w:firstLine="567"/>
        <w:jc w:val="both"/>
        <w:rPr>
          <w:noProof/>
        </w:rPr>
      </w:pPr>
      <w:r>
        <w:rPr>
          <w:noProof/>
        </w:rPr>
        <w:t>- зміна місцезнаходження платників (переходу до інших адміністративно-територіальних одиниць) податку на доходи фізичних осіб, зменшення зайнятості чи заробітних плат;</w:t>
      </w:r>
    </w:p>
    <w:p w:rsidR="00E24304" w:rsidRDefault="00E24304" w:rsidP="00E24304">
      <w:pPr>
        <w:tabs>
          <w:tab w:val="left" w:pos="1134"/>
        </w:tabs>
        <w:ind w:firstLine="567"/>
        <w:jc w:val="both"/>
        <w:rPr>
          <w:noProof/>
        </w:rPr>
      </w:pPr>
      <w:r>
        <w:rPr>
          <w:noProof/>
        </w:rPr>
        <w:t>- прийняття змін до Податкового та Бюджетного кодексів України стосовно сплати податку на доходи фізичних осіб за податковою адресою працівників;</w:t>
      </w:r>
    </w:p>
    <w:p w:rsidR="00E24304" w:rsidRDefault="00E24304" w:rsidP="00E24304">
      <w:pPr>
        <w:tabs>
          <w:tab w:val="left" w:pos="1134"/>
        </w:tabs>
        <w:ind w:firstLine="567"/>
        <w:jc w:val="both"/>
        <w:rPr>
          <w:noProof/>
        </w:rPr>
      </w:pPr>
      <w:r>
        <w:rPr>
          <w:noProof/>
        </w:rPr>
        <w:t>- закриття підприєств або скорочення обсягів виробництва, особливо бюджетоутворюючих;</w:t>
      </w:r>
    </w:p>
    <w:p w:rsidR="00E24304" w:rsidRDefault="00E24304" w:rsidP="00E24304">
      <w:pPr>
        <w:tabs>
          <w:tab w:val="left" w:pos="1134"/>
        </w:tabs>
        <w:ind w:firstLine="567"/>
        <w:jc w:val="both"/>
        <w:rPr>
          <w:noProof/>
        </w:rPr>
      </w:pPr>
      <w:r>
        <w:rPr>
          <w:noProof/>
        </w:rPr>
        <w:lastRenderedPageBreak/>
        <w:t>- неотримання доходу в запланованому обсязі комунальними підприємствами громади, що призведе до зменшення сплати податку на прибуток та частини чистого прибутку, що вилучається до бюджету (ріст цін на товари, роботи, послуги та енергоносії; в разі неприйняття рішення про збільшення тарифу на послугу; не визначення підприємства переможцем процедури закупівель послуг, вплив конкуренції тощо);</w:t>
      </w:r>
    </w:p>
    <w:p w:rsidR="00E24304" w:rsidRDefault="00E24304" w:rsidP="00E24304">
      <w:pPr>
        <w:tabs>
          <w:tab w:val="left" w:pos="1134"/>
        </w:tabs>
        <w:ind w:firstLine="567"/>
        <w:jc w:val="both"/>
        <w:rPr>
          <w:noProof/>
        </w:rPr>
      </w:pPr>
      <w:r>
        <w:rPr>
          <w:noProof/>
        </w:rPr>
        <w:t>- недостатність у потенційних покупців коштів на придбання нерухомого майна комунальної власності.</w:t>
      </w:r>
    </w:p>
    <w:p w:rsidR="00E24304" w:rsidRDefault="00E24304" w:rsidP="00E24304">
      <w:pPr>
        <w:tabs>
          <w:tab w:val="left" w:pos="1134"/>
        </w:tabs>
        <w:ind w:firstLine="567"/>
        <w:jc w:val="both"/>
        <w:rPr>
          <w:noProof/>
        </w:rPr>
      </w:pPr>
      <w:r>
        <w:rPr>
          <w:noProof/>
        </w:rPr>
        <w:t>- підвищення мінімальної зарплати посередині року, що призведе до вчинення суб’єктами господарювання (насамперед малого і середнього бізнесу) дій із податкової мінімізації (ухилення від сплати податків) за рахунок збільшення «конвертів» при оплаті праці за виконану роботу, звільнення найманих працівників чи переводу їх на неповний робочий графік;</w:t>
      </w:r>
    </w:p>
    <w:p w:rsidR="00E24304" w:rsidRDefault="00E24304" w:rsidP="00E24304">
      <w:pPr>
        <w:tabs>
          <w:tab w:val="left" w:pos="1134"/>
        </w:tabs>
        <w:ind w:firstLine="567"/>
        <w:jc w:val="both"/>
        <w:rPr>
          <w:noProof/>
        </w:rPr>
      </w:pPr>
      <w:r>
        <w:rPr>
          <w:noProof/>
        </w:rPr>
        <w:t>- зниження надходжень від єдиного податку, якщо ФОПи закриваються або скорочують діяльність;</w:t>
      </w:r>
    </w:p>
    <w:p w:rsidR="00E24304" w:rsidRDefault="00E24304" w:rsidP="00E24304">
      <w:pPr>
        <w:tabs>
          <w:tab w:val="left" w:pos="1134"/>
        </w:tabs>
        <w:ind w:firstLine="567"/>
        <w:jc w:val="both"/>
        <w:rPr>
          <w:noProof/>
        </w:rPr>
      </w:pPr>
      <w:r>
        <w:rPr>
          <w:noProof/>
        </w:rPr>
        <w:t>- знецінення грошових доходів та заощаджень громадян внаслідок високої цінової інфляції, що призведе до зниження купівельної спроможності населення, тощо.</w:t>
      </w:r>
    </w:p>
    <w:p w:rsidR="00E24304" w:rsidRDefault="00E24304" w:rsidP="00E24304">
      <w:pPr>
        <w:tabs>
          <w:tab w:val="left" w:pos="1134"/>
        </w:tabs>
        <w:ind w:firstLine="567"/>
        <w:jc w:val="both"/>
        <w:rPr>
          <w:noProof/>
        </w:rPr>
      </w:pPr>
    </w:p>
    <w:p w:rsidR="00E24304" w:rsidRDefault="00E24304" w:rsidP="00E24304">
      <w:pPr>
        <w:tabs>
          <w:tab w:val="left" w:pos="709"/>
          <w:tab w:val="left" w:pos="1134"/>
        </w:tabs>
        <w:ind w:firstLine="567"/>
        <w:jc w:val="both"/>
        <w:rPr>
          <w:b/>
          <w:noProof/>
        </w:rPr>
      </w:pPr>
      <w:r>
        <w:rPr>
          <w:b/>
          <w:noProof/>
        </w:rPr>
        <w:t>V. Показники фінансування бюджету Рахівської міської територіальної громади</w:t>
      </w:r>
    </w:p>
    <w:p w:rsidR="00E24304" w:rsidRDefault="00E24304" w:rsidP="00E24304">
      <w:pPr>
        <w:tabs>
          <w:tab w:val="left" w:pos="709"/>
          <w:tab w:val="left" w:pos="993"/>
        </w:tabs>
        <w:ind w:firstLine="567"/>
        <w:jc w:val="both"/>
        <w:rPr>
          <w:noProof/>
        </w:rPr>
      </w:pPr>
      <w:r>
        <w:rPr>
          <w:noProof/>
        </w:rPr>
        <w:t xml:space="preserve">Прогнозні показники фінансування Рахівської міської територіальної громади на 2026-2028 роки розраховані на основі прогнозних показників дохідної та видаткової частини бюджету Рахівської міської територіальної громади визначені згідно з </w:t>
      </w:r>
      <w:hyperlink r:id="rId7" w:anchor="n93" w:history="1">
        <w:r>
          <w:rPr>
            <w:rStyle w:val="a3"/>
            <w:noProof/>
          </w:rPr>
          <w:t>додатком </w:t>
        </w:r>
      </w:hyperlink>
      <w:r>
        <w:rPr>
          <w:noProof/>
        </w:rPr>
        <w:t>3 до цього прогнозу.</w:t>
      </w:r>
    </w:p>
    <w:p w:rsidR="00E24304" w:rsidRDefault="00E24304" w:rsidP="00E24304">
      <w:pPr>
        <w:ind w:firstLine="567"/>
        <w:jc w:val="both"/>
        <w:rPr>
          <w:b/>
          <w:noProof/>
        </w:rPr>
      </w:pPr>
    </w:p>
    <w:p w:rsidR="00E24304" w:rsidRDefault="00E24304" w:rsidP="00E24304">
      <w:pPr>
        <w:ind w:firstLine="567"/>
        <w:jc w:val="both"/>
        <w:rPr>
          <w:b/>
          <w:noProof/>
        </w:rPr>
      </w:pPr>
      <w:r>
        <w:rPr>
          <w:b/>
          <w:noProof/>
        </w:rPr>
        <w:t>VІ. Показники видатків бюджету Рахівської міської територіальної громади</w:t>
      </w:r>
    </w:p>
    <w:p w:rsidR="00E24304" w:rsidRDefault="00E24304" w:rsidP="00E24304">
      <w:pPr>
        <w:ind w:firstLine="567"/>
        <w:jc w:val="both"/>
        <w:rPr>
          <w:bCs/>
          <w:noProof/>
        </w:rPr>
      </w:pPr>
      <w:r>
        <w:rPr>
          <w:bCs/>
          <w:noProof/>
        </w:rPr>
        <w:t>Основними цілями видаткової політики Рахівської міської територіальної громади є:</w:t>
      </w:r>
    </w:p>
    <w:p w:rsidR="00E24304" w:rsidRDefault="00E24304" w:rsidP="00E24304">
      <w:pPr>
        <w:ind w:firstLine="567"/>
        <w:jc w:val="both"/>
        <w:rPr>
          <w:bCs/>
          <w:noProof/>
        </w:rPr>
      </w:pPr>
      <w:r>
        <w:rPr>
          <w:bCs/>
          <w:noProof/>
        </w:rPr>
        <w:t>- забезпечення стабільного функціонування бюджетних установ та виконання заходів, передбачених галузевими цільовими програмами. Подальше зміцнення матеріально-технічної бази бюджетних закладів;</w:t>
      </w:r>
    </w:p>
    <w:p w:rsidR="00E24304" w:rsidRDefault="00E24304" w:rsidP="00E24304">
      <w:pPr>
        <w:ind w:firstLine="567"/>
        <w:jc w:val="both"/>
        <w:rPr>
          <w:bCs/>
          <w:noProof/>
        </w:rPr>
      </w:pPr>
      <w:r>
        <w:rPr>
          <w:bCs/>
          <w:noProof/>
        </w:rPr>
        <w:t xml:space="preserve"> - підвищення результативності та ефективності управління бюджетними коштами шляхом здійснення оптимізації витрат бюджету та застосування дієвих методів економії;</w:t>
      </w:r>
    </w:p>
    <w:p w:rsidR="00E24304" w:rsidRDefault="00E24304" w:rsidP="00E24304">
      <w:pPr>
        <w:ind w:firstLine="567"/>
        <w:jc w:val="both"/>
        <w:rPr>
          <w:bCs/>
          <w:noProof/>
        </w:rPr>
      </w:pPr>
      <w:r>
        <w:rPr>
          <w:bCs/>
          <w:noProof/>
        </w:rPr>
        <w:t xml:space="preserve"> - забезпечення в повному обсязі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електричну, теплову енергію, водопостачання, водовідведення, які споживаються бюджетними установами і організаціями;</w:t>
      </w:r>
    </w:p>
    <w:p w:rsidR="00E24304" w:rsidRDefault="00E24304" w:rsidP="00E24304">
      <w:pPr>
        <w:ind w:firstLine="567"/>
        <w:jc w:val="both"/>
        <w:rPr>
          <w:bCs/>
          <w:noProof/>
        </w:rPr>
      </w:pPr>
      <w:r>
        <w:rPr>
          <w:bCs/>
          <w:noProof/>
        </w:rPr>
        <w:t xml:space="preserve"> - забезпечення економного режиму використання енергоносіїв, в тому числі шляхом спрямування коштів бюджету на впровадження енергоефективних та енергозберігаючих проектів в бюджетній сфері;</w:t>
      </w:r>
    </w:p>
    <w:p w:rsidR="00E24304" w:rsidRDefault="00E24304" w:rsidP="00E24304">
      <w:pPr>
        <w:ind w:firstLine="567"/>
        <w:jc w:val="both"/>
        <w:rPr>
          <w:noProof/>
        </w:rPr>
      </w:pPr>
      <w:r>
        <w:rPr>
          <w:noProof/>
        </w:rPr>
        <w:t>Прогнозні показники видатків бюджету територіальної громади на 2026-2028 роки розраховані на основі прогнозних показників дохідної частини бюджету Рахівської міської територіальної громади та макроекономічних показників та наведені у додатку 6,7 до Прогнозу.</w:t>
      </w:r>
    </w:p>
    <w:p w:rsidR="00E24304" w:rsidRDefault="00E24304" w:rsidP="00E24304">
      <w:pPr>
        <w:ind w:firstLine="567"/>
        <w:jc w:val="both"/>
        <w:rPr>
          <w:noProof/>
        </w:rPr>
      </w:pPr>
      <w:r>
        <w:rPr>
          <w:noProof/>
        </w:rPr>
        <w:t xml:space="preserve">В першу чергу в них враховані вимоги частини 4 статті 77 Бюджетного кодексу України щодо забезпечення в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w:t>
      </w:r>
    </w:p>
    <w:p w:rsidR="00E24304" w:rsidRDefault="00E24304" w:rsidP="00E24304">
      <w:pPr>
        <w:ind w:firstLine="567"/>
        <w:jc w:val="both"/>
        <w:rPr>
          <w:noProof/>
        </w:rPr>
      </w:pPr>
      <w:r>
        <w:rPr>
          <w:noProof/>
        </w:rPr>
        <w:t xml:space="preserve">Також враховані обсяги видатків, необхідні для забезпечення стабільної роботи установ та закладів соціально-культурної сфери, державного управління, надання встановлених власних соціальних гарантій для малозахищених категорій громадян, </w:t>
      </w:r>
      <w:r>
        <w:rPr>
          <w:noProof/>
        </w:rPr>
        <w:lastRenderedPageBreak/>
        <w:t>підтримку в належному стані об’єктів житлово – комунального господарства, інших об’єктів інфраструктури громади, впровадження заходів з енергозбереження, а також виконання в межах фінансових можливостей цільових (комплексних) програм.</w:t>
      </w:r>
    </w:p>
    <w:p w:rsidR="00E24304" w:rsidRDefault="00E24304" w:rsidP="00E24304">
      <w:pPr>
        <w:ind w:firstLine="567"/>
        <w:jc w:val="both"/>
        <w:rPr>
          <w:noProof/>
        </w:rPr>
      </w:pPr>
      <w:r>
        <w:rPr>
          <w:noProof/>
        </w:rPr>
        <w:t>Гендерна політики в Рахівської міської територіальній громаді будується на основі міжнародних нормативно-правових актів, ратифікованих Україною та регулюється національними нормативно-правовими актами щодо рівноправності між жінками і чоловіками</w:t>
      </w:r>
    </w:p>
    <w:p w:rsidR="00E24304" w:rsidRDefault="00E24304" w:rsidP="00E24304">
      <w:pPr>
        <w:ind w:firstLine="567"/>
        <w:jc w:val="both"/>
        <w:rPr>
          <w:noProof/>
        </w:rPr>
      </w:pPr>
    </w:p>
    <w:p w:rsidR="00E24304" w:rsidRDefault="00E24304" w:rsidP="00E24304">
      <w:pPr>
        <w:ind w:firstLine="567"/>
        <w:jc w:val="both"/>
        <w:rPr>
          <w:noProof/>
        </w:rPr>
      </w:pPr>
      <w:r>
        <w:rPr>
          <w:noProof/>
        </w:rPr>
        <w:t>Напрями розвитку в основних сферах (галузях) діяльності та їх фінансове забезпечення, характеризується наступними показниками:</w:t>
      </w:r>
    </w:p>
    <w:p w:rsidR="00E24304" w:rsidRDefault="00E24304" w:rsidP="00E24304">
      <w:pPr>
        <w:ind w:firstLine="567"/>
        <w:jc w:val="both"/>
        <w:rPr>
          <w:noProof/>
        </w:rPr>
      </w:pPr>
    </w:p>
    <w:p w:rsidR="00E24304" w:rsidRDefault="00E24304" w:rsidP="00E24304">
      <w:pPr>
        <w:ind w:firstLine="567"/>
        <w:jc w:val="center"/>
        <w:rPr>
          <w:b/>
          <w:noProof/>
        </w:rPr>
      </w:pPr>
      <w:r>
        <w:rPr>
          <w:b/>
          <w:noProof/>
        </w:rPr>
        <w:t>Державне управління</w:t>
      </w:r>
    </w:p>
    <w:p w:rsidR="00E24304" w:rsidRDefault="00E24304" w:rsidP="00E24304">
      <w:pPr>
        <w:ind w:firstLine="567"/>
        <w:jc w:val="both"/>
        <w:rPr>
          <w:noProof/>
        </w:rPr>
      </w:pPr>
      <w:r>
        <w:rPr>
          <w:noProof/>
        </w:rPr>
        <w:t>До складу органів самоврядування Рахівської міської ради входить міська рада та 2</w:t>
      </w:r>
      <w:r>
        <w:rPr>
          <w:noProof/>
          <w:color w:val="FF0000"/>
        </w:rPr>
        <w:t xml:space="preserve"> </w:t>
      </w:r>
      <w:r>
        <w:rPr>
          <w:noProof/>
        </w:rPr>
        <w:t>структурних підрозділи (зі статусом юридичної особи – 2 підрозділів) із загальною чисельністю працівників 74 шатних одиниць.</w:t>
      </w:r>
    </w:p>
    <w:p w:rsidR="00E24304" w:rsidRDefault="00E24304" w:rsidP="00E24304">
      <w:pPr>
        <w:tabs>
          <w:tab w:val="left" w:pos="0"/>
        </w:tabs>
        <w:ind w:firstLine="567"/>
        <w:jc w:val="both"/>
        <w:rPr>
          <w:noProof/>
        </w:rPr>
      </w:pPr>
      <w:r>
        <w:rPr>
          <w:i/>
          <w:noProof/>
        </w:rPr>
        <w:t>Пріоритетним завданням виконавчих органів</w:t>
      </w:r>
      <w:r>
        <w:rPr>
          <w:noProof/>
        </w:rPr>
        <w:t xml:space="preserve"> Рахівської міської ради є повноцінне забезпечення функціонування апарату міської ради, її самостійних  відділів, якісне виконання повноважень, визначених Конституцією України та іншими законодавчими актами, належне забезпечення якісного контролю за використанням коштів у реалізації заходів програми соціально-економічного розвитку. Забезпечення доступності та якості управлінських та адміністративних послуг. Підвищення іміджу органів місцевого самоврядування Рахівської міської ради.</w:t>
      </w:r>
    </w:p>
    <w:p w:rsidR="00E24304" w:rsidRDefault="00E24304" w:rsidP="00E24304">
      <w:pPr>
        <w:tabs>
          <w:tab w:val="left" w:pos="0"/>
        </w:tabs>
        <w:ind w:firstLine="567"/>
        <w:jc w:val="both"/>
        <w:rPr>
          <w:noProof/>
        </w:rPr>
      </w:pPr>
      <w:r>
        <w:rPr>
          <w:i/>
          <w:noProof/>
        </w:rPr>
        <w:t>У 2026 та 2028 роках передбачається здійснити такі заходи</w:t>
      </w:r>
      <w:r>
        <w:rPr>
          <w:noProof/>
        </w:rPr>
        <w:t>:</w:t>
      </w:r>
    </w:p>
    <w:p w:rsidR="00E24304" w:rsidRDefault="00E24304" w:rsidP="00E24304">
      <w:pPr>
        <w:tabs>
          <w:tab w:val="left" w:pos="0"/>
        </w:tabs>
        <w:ind w:firstLine="567"/>
        <w:jc w:val="both"/>
        <w:rPr>
          <w:noProof/>
        </w:rPr>
      </w:pPr>
      <w:r>
        <w:rPr>
          <w:noProof/>
        </w:rPr>
        <w:t>–  організація та забезпечення ефективної роботи органів місцевого самоврядування;</w:t>
      </w:r>
    </w:p>
    <w:p w:rsidR="00E24304" w:rsidRDefault="00E24304" w:rsidP="00E24304">
      <w:pPr>
        <w:tabs>
          <w:tab w:val="left" w:pos="0"/>
        </w:tabs>
        <w:ind w:firstLine="567"/>
        <w:jc w:val="both"/>
        <w:rPr>
          <w:noProof/>
        </w:rPr>
      </w:pPr>
      <w:r>
        <w:rPr>
          <w:noProof/>
        </w:rPr>
        <w:t>– забезпечення принципу прозорості у діяльності міської ради;</w:t>
      </w:r>
    </w:p>
    <w:p w:rsidR="00E24304" w:rsidRDefault="00E24304" w:rsidP="00E24304">
      <w:pPr>
        <w:tabs>
          <w:tab w:val="left" w:pos="0"/>
        </w:tabs>
        <w:ind w:firstLine="567"/>
        <w:jc w:val="both"/>
        <w:rPr>
          <w:noProof/>
        </w:rPr>
      </w:pPr>
      <w:r>
        <w:rPr>
          <w:noProof/>
        </w:rPr>
        <w:t>–</w:t>
      </w:r>
      <w:r>
        <w:rPr>
          <w:noProof/>
        </w:rPr>
        <w:tab/>
        <w:t> забезпечення повноцінного виконання повноважень виконавчих органів міської ради згідно чинного законодавства;</w:t>
      </w:r>
    </w:p>
    <w:p w:rsidR="00E24304" w:rsidRDefault="00E24304" w:rsidP="00E24304">
      <w:pPr>
        <w:tabs>
          <w:tab w:val="left" w:pos="0"/>
        </w:tabs>
        <w:ind w:firstLine="567"/>
        <w:jc w:val="both"/>
        <w:rPr>
          <w:noProof/>
        </w:rPr>
      </w:pPr>
      <w:r>
        <w:rPr>
          <w:noProof/>
        </w:rPr>
        <w:t>–</w:t>
      </w:r>
      <w:r>
        <w:rPr>
          <w:noProof/>
        </w:rPr>
        <w:tab/>
        <w:t> підвищення професійного рівня посадових осіб органів місцевого самоврядування та депутатів міської ради.</w:t>
      </w:r>
    </w:p>
    <w:p w:rsidR="00E24304" w:rsidRDefault="00E24304" w:rsidP="00E24304">
      <w:pPr>
        <w:tabs>
          <w:tab w:val="left" w:pos="0"/>
        </w:tabs>
        <w:ind w:firstLine="567"/>
        <w:jc w:val="both"/>
        <w:rPr>
          <w:i/>
          <w:noProof/>
        </w:rPr>
      </w:pPr>
      <w:r>
        <w:rPr>
          <w:i/>
          <w:noProof/>
        </w:rPr>
        <w:t>Основними результатами, які планується досягти є:</w:t>
      </w:r>
    </w:p>
    <w:p w:rsidR="00E24304" w:rsidRDefault="00E24304" w:rsidP="00E24304">
      <w:pPr>
        <w:tabs>
          <w:tab w:val="left" w:pos="0"/>
        </w:tabs>
        <w:ind w:firstLine="567"/>
        <w:jc w:val="both"/>
        <w:rPr>
          <w:noProof/>
        </w:rPr>
      </w:pPr>
      <w:r>
        <w:rPr>
          <w:noProof/>
        </w:rPr>
        <w:t>– забезпечення якісного та повноцінного виконання функцій і повноважень виконавчих органів міської ради згідно з чинним законодавством;</w:t>
      </w:r>
    </w:p>
    <w:p w:rsidR="00E24304" w:rsidRDefault="00E24304" w:rsidP="00E24304">
      <w:pPr>
        <w:tabs>
          <w:tab w:val="left" w:pos="0"/>
        </w:tabs>
        <w:ind w:firstLine="567"/>
        <w:jc w:val="both"/>
        <w:rPr>
          <w:noProof/>
        </w:rPr>
      </w:pPr>
      <w:r>
        <w:rPr>
          <w:noProof/>
        </w:rPr>
        <w:t>–</w:t>
      </w:r>
      <w:r>
        <w:rPr>
          <w:noProof/>
        </w:rPr>
        <w:tab/>
        <w:t> створення прозорої системи прийняття управлінських рішень виконавчими органами міської ради;</w:t>
      </w:r>
    </w:p>
    <w:p w:rsidR="00E24304" w:rsidRDefault="00E24304" w:rsidP="00E24304">
      <w:pPr>
        <w:tabs>
          <w:tab w:val="left" w:pos="0"/>
        </w:tabs>
        <w:ind w:firstLine="567"/>
        <w:jc w:val="both"/>
        <w:rPr>
          <w:noProof/>
        </w:rPr>
      </w:pPr>
      <w:r>
        <w:rPr>
          <w:noProof/>
        </w:rPr>
        <w:t>– підвищення рівня довіри до виконавчих органів міської ради.</w:t>
      </w:r>
    </w:p>
    <w:p w:rsidR="00E24304" w:rsidRDefault="00E24304" w:rsidP="00E24304">
      <w:pPr>
        <w:tabs>
          <w:tab w:val="left" w:pos="709"/>
          <w:tab w:val="left" w:pos="1134"/>
        </w:tabs>
        <w:ind w:firstLine="567"/>
        <w:jc w:val="both"/>
        <w:rPr>
          <w:noProof/>
        </w:rPr>
      </w:pPr>
    </w:p>
    <w:p w:rsidR="00E24304" w:rsidRDefault="00E24304" w:rsidP="00E24304">
      <w:pPr>
        <w:tabs>
          <w:tab w:val="left" w:pos="4388"/>
        </w:tabs>
        <w:ind w:firstLine="567"/>
        <w:jc w:val="both"/>
        <w:rPr>
          <w:b/>
          <w:noProof/>
        </w:rPr>
      </w:pPr>
      <w:r>
        <w:rPr>
          <w:noProof/>
        </w:rPr>
        <w:tab/>
      </w:r>
      <w:r>
        <w:rPr>
          <w:b/>
          <w:noProof/>
        </w:rPr>
        <w:t>Освіта</w:t>
      </w:r>
    </w:p>
    <w:p w:rsidR="00E24304" w:rsidRDefault="00E24304" w:rsidP="00E24304">
      <w:pPr>
        <w:tabs>
          <w:tab w:val="left" w:pos="4388"/>
        </w:tabs>
        <w:ind w:firstLine="567"/>
        <w:jc w:val="both"/>
        <w:rPr>
          <w:noProof/>
        </w:rPr>
      </w:pPr>
      <w:r>
        <w:rPr>
          <w:noProof/>
        </w:rPr>
        <w:t>Мережа закладів галузі «Освіта» налічує 17 закладів освіти, в тому числі:</w:t>
      </w:r>
    </w:p>
    <w:p w:rsidR="00E24304" w:rsidRDefault="00E24304" w:rsidP="00E24304">
      <w:pPr>
        <w:tabs>
          <w:tab w:val="left" w:pos="4388"/>
        </w:tabs>
        <w:ind w:firstLine="567"/>
        <w:jc w:val="both"/>
        <w:rPr>
          <w:noProof/>
        </w:rPr>
      </w:pPr>
      <w:r>
        <w:rPr>
          <w:noProof/>
        </w:rPr>
        <w:t>дошкільні навчальні заклади – 6,</w:t>
      </w:r>
    </w:p>
    <w:p w:rsidR="00E24304" w:rsidRDefault="00E24304" w:rsidP="00E24304">
      <w:pPr>
        <w:tabs>
          <w:tab w:val="left" w:pos="4388"/>
        </w:tabs>
        <w:ind w:firstLine="567"/>
        <w:jc w:val="both"/>
        <w:rPr>
          <w:noProof/>
        </w:rPr>
      </w:pPr>
      <w:r>
        <w:rPr>
          <w:noProof/>
        </w:rPr>
        <w:t>загальноосвітні навчальні заклади – 8,</w:t>
      </w:r>
    </w:p>
    <w:p w:rsidR="00E24304" w:rsidRDefault="00E24304" w:rsidP="00E24304">
      <w:pPr>
        <w:tabs>
          <w:tab w:val="left" w:pos="4388"/>
        </w:tabs>
        <w:ind w:firstLine="567"/>
        <w:jc w:val="both"/>
        <w:rPr>
          <w:noProof/>
        </w:rPr>
      </w:pPr>
      <w:r>
        <w:rPr>
          <w:noProof/>
        </w:rPr>
        <w:t>мистецька школа – 1,</w:t>
      </w:r>
    </w:p>
    <w:p w:rsidR="00E24304" w:rsidRDefault="00E24304" w:rsidP="00E24304">
      <w:pPr>
        <w:tabs>
          <w:tab w:val="left" w:pos="4388"/>
        </w:tabs>
        <w:ind w:firstLine="567"/>
        <w:jc w:val="both"/>
        <w:rPr>
          <w:noProof/>
        </w:rPr>
      </w:pPr>
      <w:r>
        <w:rPr>
          <w:noProof/>
        </w:rPr>
        <w:t>інклюзивно – ресурсний центр -1.</w:t>
      </w:r>
    </w:p>
    <w:p w:rsidR="00E24304" w:rsidRDefault="00E24304" w:rsidP="00E24304">
      <w:pPr>
        <w:tabs>
          <w:tab w:val="left" w:pos="4388"/>
        </w:tabs>
        <w:ind w:firstLine="567"/>
        <w:jc w:val="both"/>
        <w:rPr>
          <w:noProof/>
        </w:rPr>
      </w:pPr>
      <w:r>
        <w:rPr>
          <w:noProof/>
        </w:rPr>
        <w:t xml:space="preserve">центр науково-технічної, дитячої та юнацької творчості – 1 </w:t>
      </w:r>
    </w:p>
    <w:p w:rsidR="00E24304" w:rsidRDefault="00E24304" w:rsidP="00E24304">
      <w:pPr>
        <w:tabs>
          <w:tab w:val="left" w:pos="4388"/>
        </w:tabs>
        <w:ind w:firstLine="567"/>
        <w:jc w:val="both"/>
        <w:rPr>
          <w:noProof/>
          <w:color w:val="FF0000"/>
        </w:rPr>
      </w:pPr>
      <w:r>
        <w:rPr>
          <w:noProof/>
        </w:rPr>
        <w:t>Метою дошкільної, повної загальної середньої освіти та позашкільної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E24304" w:rsidRDefault="00E24304" w:rsidP="00E24304">
      <w:pPr>
        <w:tabs>
          <w:tab w:val="left" w:pos="4388"/>
        </w:tabs>
        <w:ind w:firstLine="567"/>
        <w:jc w:val="both"/>
        <w:rPr>
          <w:i/>
          <w:noProof/>
        </w:rPr>
      </w:pPr>
      <w:r>
        <w:rPr>
          <w:i/>
          <w:noProof/>
        </w:rPr>
        <w:t>Пріоритетами розвитку галузі є:</w:t>
      </w:r>
    </w:p>
    <w:p w:rsidR="00E24304" w:rsidRDefault="00E24304" w:rsidP="00E24304">
      <w:pPr>
        <w:tabs>
          <w:tab w:val="left" w:pos="4388"/>
        </w:tabs>
        <w:ind w:firstLine="567"/>
        <w:jc w:val="both"/>
        <w:rPr>
          <w:noProof/>
        </w:rPr>
      </w:pPr>
      <w:r>
        <w:rPr>
          <w:noProof/>
        </w:rPr>
        <w:lastRenderedPageBreak/>
        <w:t>–реалізація Концепції державної політики у сфері реформування загальної середньої освіти «Нова українська школа» на період до 2029 року, затвердженої розпорядженням Кабінету Міністрів України від 14 грудня2016 року № 988-р;</w:t>
      </w:r>
    </w:p>
    <w:p w:rsidR="00E24304" w:rsidRDefault="00E24304" w:rsidP="00E24304">
      <w:pPr>
        <w:tabs>
          <w:tab w:val="left" w:pos="4388"/>
        </w:tabs>
        <w:ind w:firstLine="567"/>
        <w:jc w:val="both"/>
        <w:rPr>
          <w:noProof/>
        </w:rPr>
      </w:pPr>
      <w:r>
        <w:rPr>
          <w:noProof/>
        </w:rPr>
        <w:t>–створення умов для забезпечення потреб населення у якісній освіті дітей та стабільного функціонування закладів освіти, задоволення освітніх потреб Рахівської міської територіальної громади;</w:t>
      </w:r>
    </w:p>
    <w:p w:rsidR="00E24304" w:rsidRDefault="00E24304" w:rsidP="00E24304">
      <w:pPr>
        <w:tabs>
          <w:tab w:val="left" w:pos="4388"/>
        </w:tabs>
        <w:ind w:firstLine="567"/>
        <w:jc w:val="both"/>
        <w:rPr>
          <w:noProof/>
        </w:rPr>
      </w:pPr>
      <w:r>
        <w:rPr>
          <w:noProof/>
        </w:rPr>
        <w:t>–створення безпечних та нешкідливих умов навчання, виховання і розвитку дітей та учнівської молоді;</w:t>
      </w:r>
    </w:p>
    <w:p w:rsidR="00E24304" w:rsidRDefault="00E24304" w:rsidP="00E24304">
      <w:pPr>
        <w:tabs>
          <w:tab w:val="left" w:pos="4388"/>
        </w:tabs>
        <w:ind w:firstLine="567"/>
        <w:jc w:val="both"/>
        <w:rPr>
          <w:noProof/>
        </w:rPr>
      </w:pPr>
      <w:r>
        <w:rPr>
          <w:noProof/>
        </w:rPr>
        <w:t>–забезпечення рівного доступу до якісної освіти всіх мешканців ТГ, оптимізація управління та організаційної структури системи освіти;</w:t>
      </w:r>
    </w:p>
    <w:p w:rsidR="00E24304" w:rsidRDefault="00E24304" w:rsidP="00E24304">
      <w:pPr>
        <w:tabs>
          <w:tab w:val="left" w:pos="4388"/>
        </w:tabs>
        <w:ind w:firstLine="567"/>
        <w:jc w:val="both"/>
        <w:rPr>
          <w:noProof/>
        </w:rPr>
      </w:pPr>
      <w:r>
        <w:rPr>
          <w:noProof/>
        </w:rPr>
        <w:t>–забезпечення підтримки розвитку інтелектуального та творчого потенціалу дітей та учнівської молоді;</w:t>
      </w:r>
    </w:p>
    <w:p w:rsidR="00E24304" w:rsidRDefault="00E24304" w:rsidP="00E24304">
      <w:pPr>
        <w:tabs>
          <w:tab w:val="left" w:pos="4388"/>
        </w:tabs>
        <w:ind w:firstLine="567"/>
        <w:jc w:val="both"/>
        <w:rPr>
          <w:noProof/>
        </w:rPr>
      </w:pPr>
      <w:r>
        <w:rPr>
          <w:noProof/>
        </w:rPr>
        <w:t>–забезпечення права дитини на здобуття освіти, розвиток мережі закладів позашкільної освіти;</w:t>
      </w:r>
    </w:p>
    <w:p w:rsidR="00E24304" w:rsidRDefault="00E24304" w:rsidP="00E24304">
      <w:pPr>
        <w:tabs>
          <w:tab w:val="left" w:pos="4388"/>
        </w:tabs>
        <w:ind w:firstLine="567"/>
        <w:jc w:val="both"/>
        <w:rPr>
          <w:noProof/>
        </w:rPr>
      </w:pPr>
      <w:r>
        <w:rPr>
          <w:noProof/>
        </w:rPr>
        <w:t xml:space="preserve">–удосконалення механізмів управління і фінансування закладів освіти, залучення коштів з бюджетів різних рівнів на розвиток освіти; </w:t>
      </w:r>
    </w:p>
    <w:p w:rsidR="00E24304" w:rsidRDefault="00E24304" w:rsidP="00E24304">
      <w:pPr>
        <w:tabs>
          <w:tab w:val="left" w:pos="4388"/>
        </w:tabs>
        <w:ind w:firstLine="567"/>
        <w:jc w:val="both"/>
        <w:rPr>
          <w:noProof/>
        </w:rPr>
      </w:pPr>
      <w:r>
        <w:rPr>
          <w:noProof/>
        </w:rPr>
        <w:t>–інформатизація навчально-виховного процесу та управлінської діяльності освітньої галузі;</w:t>
      </w:r>
    </w:p>
    <w:p w:rsidR="00E24304" w:rsidRDefault="00E24304" w:rsidP="00E24304">
      <w:pPr>
        <w:tabs>
          <w:tab w:val="left" w:pos="4388"/>
        </w:tabs>
        <w:ind w:firstLine="567"/>
        <w:jc w:val="both"/>
        <w:rPr>
          <w:noProof/>
        </w:rPr>
      </w:pPr>
      <w:r>
        <w:rPr>
          <w:noProof/>
        </w:rPr>
        <w:t>–розвиток творчого потенціалу та підвищення престижності праці працівників галузі «Освіта».</w:t>
      </w:r>
    </w:p>
    <w:p w:rsidR="00E24304" w:rsidRDefault="00E24304" w:rsidP="00E24304">
      <w:pPr>
        <w:tabs>
          <w:tab w:val="left" w:pos="4388"/>
        </w:tabs>
        <w:ind w:firstLine="567"/>
        <w:jc w:val="both"/>
        <w:rPr>
          <w:i/>
          <w:noProof/>
        </w:rPr>
      </w:pPr>
      <w:r>
        <w:rPr>
          <w:i/>
          <w:noProof/>
        </w:rPr>
        <w:t>Основні заходи для досягнення визначених завдань:</w:t>
      </w:r>
    </w:p>
    <w:p w:rsidR="00E24304" w:rsidRDefault="00E24304" w:rsidP="00E24304">
      <w:pPr>
        <w:tabs>
          <w:tab w:val="left" w:pos="4388"/>
        </w:tabs>
        <w:ind w:firstLine="567"/>
        <w:jc w:val="both"/>
        <w:rPr>
          <w:noProof/>
        </w:rPr>
      </w:pPr>
      <w:r>
        <w:rPr>
          <w:noProof/>
        </w:rPr>
        <w:t>–поглиблення реформи освіти і забезпечення кращих можливостей для дітей, що є передумовою для розвитку дитини та її успішної реалізації в суспільстві;</w:t>
      </w:r>
    </w:p>
    <w:p w:rsidR="00E24304" w:rsidRDefault="00E24304" w:rsidP="00E24304">
      <w:pPr>
        <w:tabs>
          <w:tab w:val="left" w:pos="4388"/>
        </w:tabs>
        <w:ind w:firstLine="567"/>
        <w:jc w:val="both"/>
        <w:rPr>
          <w:noProof/>
        </w:rPr>
      </w:pPr>
      <w:r>
        <w:rPr>
          <w:noProof/>
        </w:rPr>
        <w:t>–підвищення якості, розгортання, розвитку та оновлення дошкільної освіти;</w:t>
      </w:r>
    </w:p>
    <w:p w:rsidR="00E24304" w:rsidRDefault="00E24304" w:rsidP="00E24304">
      <w:pPr>
        <w:tabs>
          <w:tab w:val="left" w:pos="4388"/>
        </w:tabs>
        <w:ind w:firstLine="567"/>
        <w:jc w:val="both"/>
        <w:rPr>
          <w:noProof/>
        </w:rPr>
      </w:pPr>
      <w:r>
        <w:rPr>
          <w:noProof/>
        </w:rPr>
        <w:t xml:space="preserve">–своєчасність та успішність розвитку дітей дошкільного віку, доступність форм здобуття дошкільної освіти; </w:t>
      </w:r>
    </w:p>
    <w:p w:rsidR="00E24304" w:rsidRDefault="00E24304" w:rsidP="00E24304">
      <w:pPr>
        <w:tabs>
          <w:tab w:val="left" w:pos="4388"/>
        </w:tabs>
        <w:ind w:firstLine="567"/>
        <w:jc w:val="both"/>
        <w:rPr>
          <w:noProof/>
        </w:rPr>
      </w:pPr>
      <w:r>
        <w:rPr>
          <w:noProof/>
        </w:rPr>
        <w:t>–забезпечення якісної, сучасної та доступної загальної середньої освіти «Нова українська школа» шляхом:</w:t>
      </w:r>
    </w:p>
    <w:p w:rsidR="00E24304" w:rsidRDefault="00E24304" w:rsidP="00E24304">
      <w:pPr>
        <w:tabs>
          <w:tab w:val="left" w:pos="4388"/>
        </w:tabs>
        <w:ind w:firstLine="567"/>
        <w:jc w:val="both"/>
        <w:rPr>
          <w:noProof/>
        </w:rPr>
      </w:pPr>
      <w:r>
        <w:rPr>
          <w:noProof/>
        </w:rPr>
        <w:t>–запровадження концептуальних засад нової системи підготовки та професійного зростання вчителя, створення нової структури школи та формування мережі профільних шкіл;</w:t>
      </w:r>
    </w:p>
    <w:p w:rsidR="00E24304" w:rsidRDefault="00E24304" w:rsidP="00E24304">
      <w:pPr>
        <w:tabs>
          <w:tab w:val="left" w:pos="4388"/>
        </w:tabs>
        <w:ind w:firstLine="567"/>
        <w:jc w:val="both"/>
        <w:rPr>
          <w:noProof/>
        </w:rPr>
      </w:pPr>
      <w:r>
        <w:rPr>
          <w:noProof/>
        </w:rPr>
        <w:t>–забезпечення закладів загальної середньої освіти сучасним навчальним обладнанням;</w:t>
      </w:r>
    </w:p>
    <w:p w:rsidR="00E24304" w:rsidRDefault="00E24304" w:rsidP="00E24304">
      <w:pPr>
        <w:tabs>
          <w:tab w:val="left" w:pos="4388"/>
        </w:tabs>
        <w:ind w:firstLine="567"/>
        <w:jc w:val="both"/>
        <w:rPr>
          <w:noProof/>
        </w:rPr>
      </w:pPr>
      <w:r>
        <w:rPr>
          <w:noProof/>
        </w:rPr>
        <w:t>–12-річна система навчання у закладах загальної середньої освіти: початкова освіта – 4 роки (з 1-го до 4-го класу), базова середня освіта – 5 років (з 5-го до 9-го класу), профільна середня освіта – 3 роки (10-й, 11-й, 12-й класи);</w:t>
      </w:r>
    </w:p>
    <w:p w:rsidR="00E24304" w:rsidRDefault="00E24304" w:rsidP="00E24304">
      <w:pPr>
        <w:tabs>
          <w:tab w:val="left" w:pos="4388"/>
        </w:tabs>
        <w:ind w:firstLine="567"/>
        <w:jc w:val="both"/>
        <w:rPr>
          <w:noProof/>
        </w:rPr>
      </w:pPr>
      <w:r>
        <w:rPr>
          <w:noProof/>
        </w:rPr>
        <w:t>–впровадження інституційної форми здобуття загальної середньої освіти, а саме: очної (денна, вечірня), заочної, дистанційної та мережевої;</w:t>
      </w:r>
    </w:p>
    <w:p w:rsidR="00E24304" w:rsidRDefault="00E24304" w:rsidP="00E24304">
      <w:pPr>
        <w:tabs>
          <w:tab w:val="left" w:pos="4388"/>
        </w:tabs>
        <w:ind w:firstLine="567"/>
        <w:jc w:val="both"/>
        <w:rPr>
          <w:noProof/>
        </w:rPr>
      </w:pPr>
      <w:r>
        <w:rPr>
          <w:noProof/>
        </w:rPr>
        <w:t>–повне забезпечення школярів безкоштовними підручниками;</w:t>
      </w:r>
    </w:p>
    <w:p w:rsidR="00E24304" w:rsidRDefault="00E24304" w:rsidP="00E24304">
      <w:pPr>
        <w:tabs>
          <w:tab w:val="left" w:pos="4388"/>
        </w:tabs>
        <w:ind w:firstLine="567"/>
        <w:jc w:val="both"/>
        <w:rPr>
          <w:noProof/>
        </w:rPr>
      </w:pPr>
      <w:r>
        <w:rPr>
          <w:noProof/>
        </w:rPr>
        <w:t>–проведення капітального ремонту будівель, приміщень та систем комунікацій закладів освіти, заходів з енергозбереження в закладах освіти;</w:t>
      </w:r>
    </w:p>
    <w:p w:rsidR="00E24304" w:rsidRDefault="00E24304" w:rsidP="00E24304">
      <w:pPr>
        <w:tabs>
          <w:tab w:val="left" w:pos="4388"/>
        </w:tabs>
        <w:ind w:firstLine="567"/>
        <w:jc w:val="both"/>
        <w:rPr>
          <w:noProof/>
        </w:rPr>
      </w:pPr>
      <w:r>
        <w:rPr>
          <w:noProof/>
        </w:rPr>
        <w:t xml:space="preserve">–модернізація матеріально-технічної бази закладів освіти, оснащення сучасним обладнанням та навчальним приладдям; </w:t>
      </w:r>
    </w:p>
    <w:p w:rsidR="00E24304" w:rsidRDefault="00E24304" w:rsidP="00E24304">
      <w:pPr>
        <w:tabs>
          <w:tab w:val="left" w:pos="4388"/>
        </w:tabs>
        <w:ind w:firstLine="567"/>
        <w:jc w:val="both"/>
        <w:rPr>
          <w:noProof/>
        </w:rPr>
      </w:pPr>
      <w:r>
        <w:rPr>
          <w:noProof/>
        </w:rPr>
        <w:t>–проведення робіт з благоустрою територій закладів освіти;</w:t>
      </w:r>
    </w:p>
    <w:p w:rsidR="00E24304" w:rsidRDefault="00E24304" w:rsidP="00E24304">
      <w:pPr>
        <w:tabs>
          <w:tab w:val="left" w:pos="4388"/>
        </w:tabs>
        <w:ind w:firstLine="567"/>
        <w:jc w:val="both"/>
        <w:rPr>
          <w:noProof/>
        </w:rPr>
      </w:pPr>
      <w:r>
        <w:rPr>
          <w:noProof/>
        </w:rPr>
        <w:t xml:space="preserve">–проведення протипожежних заходів у закладах освіти (встановлення систем автоматичної пожежної сигналізації, обробка дерев`яних конструкцій протипожежною сумішшю, придбання засобів пожежогасіння, проведення ремонтів систем тощо); </w:t>
      </w:r>
    </w:p>
    <w:p w:rsidR="00E24304" w:rsidRDefault="00E24304" w:rsidP="00E24304">
      <w:pPr>
        <w:tabs>
          <w:tab w:val="left" w:pos="4388"/>
        </w:tabs>
        <w:ind w:firstLine="567"/>
        <w:jc w:val="both"/>
        <w:rPr>
          <w:noProof/>
        </w:rPr>
      </w:pPr>
      <w:r>
        <w:rPr>
          <w:noProof/>
        </w:rPr>
        <w:t xml:space="preserve">–модернізація харчоблоків закладів дошкільної та загальної середньої освіти; </w:t>
      </w:r>
    </w:p>
    <w:p w:rsidR="00E24304" w:rsidRDefault="00E24304" w:rsidP="00E24304">
      <w:pPr>
        <w:tabs>
          <w:tab w:val="left" w:pos="4388"/>
        </w:tabs>
        <w:ind w:firstLine="567"/>
        <w:jc w:val="both"/>
        <w:rPr>
          <w:noProof/>
        </w:rPr>
      </w:pPr>
      <w:r>
        <w:rPr>
          <w:noProof/>
        </w:rPr>
        <w:t xml:space="preserve">–забезпечення закладів та установ освіти комп’ютерною технікою, мультимедійною та інтерактивною технікою, оновлення комп’ютерного обладнання, придбання комплектуючих; </w:t>
      </w:r>
    </w:p>
    <w:p w:rsidR="00E24304" w:rsidRDefault="00E24304" w:rsidP="00E24304">
      <w:pPr>
        <w:tabs>
          <w:tab w:val="left" w:pos="4388"/>
        </w:tabs>
        <w:ind w:firstLine="567"/>
        <w:jc w:val="both"/>
        <w:rPr>
          <w:noProof/>
        </w:rPr>
      </w:pPr>
      <w:r>
        <w:rPr>
          <w:noProof/>
        </w:rPr>
        <w:lastRenderedPageBreak/>
        <w:t xml:space="preserve">–фінансування видатків на участь обдарованих і талановитих дітей, дитячих колективів в інтелектуальних, творчих та спортивних олімпіадах, турнірах, конкурсах, фестивалях, які проводяться за межами територіальної громади; проведення місцевих олімпіад, інтелектуальних конкурсів, турнірів з навчальних предметів (Інтернет-олімпіад, турнірів тощо), нагородження переможців; </w:t>
      </w:r>
    </w:p>
    <w:p w:rsidR="00E24304" w:rsidRDefault="00E24304" w:rsidP="00E24304">
      <w:pPr>
        <w:tabs>
          <w:tab w:val="left" w:pos="4388"/>
        </w:tabs>
        <w:ind w:firstLine="567"/>
        <w:jc w:val="both"/>
        <w:rPr>
          <w:noProof/>
        </w:rPr>
      </w:pPr>
      <w:r>
        <w:rPr>
          <w:noProof/>
        </w:rPr>
        <w:t xml:space="preserve">–організація поїздок делегацій з обміну досвідом (учнів (вихованців), педагогів та інших працівників), організація та проведення навчально-практичних семінарів, тренінгів, майстер-класів тощо для учнів закладів загальної середньої освіти громади; </w:t>
      </w:r>
    </w:p>
    <w:p w:rsidR="00E24304" w:rsidRDefault="00E24304" w:rsidP="00E24304">
      <w:pPr>
        <w:tabs>
          <w:tab w:val="left" w:pos="4388"/>
        </w:tabs>
        <w:ind w:firstLine="567"/>
        <w:jc w:val="both"/>
        <w:rPr>
          <w:noProof/>
        </w:rPr>
      </w:pPr>
      <w:r>
        <w:rPr>
          <w:noProof/>
        </w:rPr>
        <w:t>–організація семінарів (майстер-класів тощо) із залученням відповідних фахівців, забезпечення участі працівників освітньої галузі громади у виїзних науково-методичних заходах, проведення місцевих етапів конкурсів педагогічної майстерності та матеріальне заохочення переможців;</w:t>
      </w:r>
    </w:p>
    <w:p w:rsidR="00E24304" w:rsidRDefault="00E24304" w:rsidP="00E24304">
      <w:pPr>
        <w:tabs>
          <w:tab w:val="left" w:pos="4388"/>
        </w:tabs>
        <w:ind w:firstLine="567"/>
        <w:jc w:val="both"/>
        <w:rPr>
          <w:noProof/>
        </w:rPr>
      </w:pPr>
      <w:r>
        <w:rPr>
          <w:noProof/>
        </w:rPr>
        <w:t xml:space="preserve">–забезпечення заохочувальних виплат педагогам, які досягли значних успіхів у роботі з обдарованими дітьми та молоддю; </w:t>
      </w:r>
    </w:p>
    <w:p w:rsidR="00E24304" w:rsidRDefault="00E24304" w:rsidP="00E24304">
      <w:pPr>
        <w:tabs>
          <w:tab w:val="left" w:pos="4388"/>
        </w:tabs>
        <w:ind w:firstLine="567"/>
        <w:jc w:val="both"/>
        <w:rPr>
          <w:noProof/>
        </w:rPr>
      </w:pPr>
      <w:r>
        <w:rPr>
          <w:noProof/>
        </w:rPr>
        <w:t>–удосконалення механізмів управління і фінансування закладів освіти, залучення коштів з бюджетів різних рівнів на розвиток освіти;</w:t>
      </w:r>
    </w:p>
    <w:p w:rsidR="00E24304" w:rsidRDefault="00E24304" w:rsidP="00E24304">
      <w:pPr>
        <w:tabs>
          <w:tab w:val="left" w:pos="4388"/>
        </w:tabs>
        <w:ind w:firstLine="567"/>
        <w:jc w:val="both"/>
        <w:rPr>
          <w:noProof/>
        </w:rPr>
      </w:pPr>
      <w:r>
        <w:rPr>
          <w:noProof/>
        </w:rPr>
        <w:t>–підтримка участі обдарованих дітей у обласних, міжнародних, всеукраїнських конкурсах, фестивалях;</w:t>
      </w:r>
    </w:p>
    <w:p w:rsidR="00E24304" w:rsidRDefault="00E24304" w:rsidP="00E24304">
      <w:pPr>
        <w:tabs>
          <w:tab w:val="left" w:pos="4388"/>
        </w:tabs>
        <w:ind w:firstLine="567"/>
        <w:jc w:val="both"/>
        <w:rPr>
          <w:noProof/>
        </w:rPr>
      </w:pPr>
      <w:r>
        <w:rPr>
          <w:noProof/>
        </w:rPr>
        <w:t>–наскрізне застосування інформаційно-комунікаційних технологій в освітньому процесі та управлінні закладами освіти і системою освіти.</w:t>
      </w:r>
    </w:p>
    <w:p w:rsidR="00E24304" w:rsidRDefault="00E24304" w:rsidP="00E24304">
      <w:pPr>
        <w:tabs>
          <w:tab w:val="left" w:pos="4388"/>
        </w:tabs>
        <w:ind w:firstLine="567"/>
        <w:jc w:val="both"/>
        <w:rPr>
          <w:noProof/>
        </w:rPr>
      </w:pPr>
    </w:p>
    <w:p w:rsidR="00E24304" w:rsidRDefault="00E24304" w:rsidP="00E24304">
      <w:pPr>
        <w:tabs>
          <w:tab w:val="left" w:pos="4388"/>
        </w:tabs>
        <w:ind w:firstLine="567"/>
        <w:jc w:val="both"/>
        <w:rPr>
          <w:i/>
          <w:noProof/>
        </w:rPr>
      </w:pPr>
      <w:r>
        <w:rPr>
          <w:i/>
          <w:noProof/>
        </w:rPr>
        <w:t>Результати, яких планується досягти від реалізації заходів:</w:t>
      </w:r>
    </w:p>
    <w:p w:rsidR="00E24304" w:rsidRDefault="00E24304" w:rsidP="00E24304">
      <w:pPr>
        <w:tabs>
          <w:tab w:val="left" w:pos="4388"/>
        </w:tabs>
        <w:ind w:firstLine="567"/>
        <w:jc w:val="both"/>
        <w:rPr>
          <w:noProof/>
        </w:rPr>
      </w:pPr>
      <w:r>
        <w:rPr>
          <w:noProof/>
        </w:rPr>
        <w:t>–забезпечення якісної, сучасної та доступної загальної середньої освіти;</w:t>
      </w:r>
    </w:p>
    <w:p w:rsidR="00E24304" w:rsidRDefault="00E24304" w:rsidP="00E24304">
      <w:pPr>
        <w:tabs>
          <w:tab w:val="left" w:pos="4388"/>
        </w:tabs>
        <w:ind w:firstLine="567"/>
        <w:jc w:val="both"/>
        <w:rPr>
          <w:noProof/>
        </w:rPr>
      </w:pPr>
      <w:r>
        <w:rPr>
          <w:noProof/>
        </w:rPr>
        <w:t>–забезпечення стійкого розвитку системи освіти, всебічного розвитку особистості, стабільного функціонування закладів та установ освіти територіальної громади для задоволення освітніх потреб населення;</w:t>
      </w:r>
    </w:p>
    <w:p w:rsidR="00E24304" w:rsidRDefault="00E24304" w:rsidP="00E24304">
      <w:pPr>
        <w:tabs>
          <w:tab w:val="left" w:pos="4388"/>
        </w:tabs>
        <w:ind w:firstLine="567"/>
        <w:jc w:val="both"/>
        <w:rPr>
          <w:noProof/>
        </w:rPr>
      </w:pPr>
      <w:r>
        <w:rPr>
          <w:noProof/>
        </w:rPr>
        <w:t>–інтеграція освіти до європейського і світового освітніх процесів;</w:t>
      </w:r>
    </w:p>
    <w:p w:rsidR="00E24304" w:rsidRDefault="00E24304" w:rsidP="00E24304">
      <w:pPr>
        <w:tabs>
          <w:tab w:val="left" w:pos="4388"/>
        </w:tabs>
        <w:ind w:firstLine="567"/>
        <w:jc w:val="both"/>
        <w:rPr>
          <w:noProof/>
        </w:rPr>
      </w:pPr>
      <w:r>
        <w:rPr>
          <w:noProof/>
        </w:rPr>
        <w:t xml:space="preserve">–підвищення якості навчання, виховання, кваліфікації педагогічних працівників та їх компетентності; </w:t>
      </w:r>
    </w:p>
    <w:p w:rsidR="00E24304" w:rsidRDefault="00E24304" w:rsidP="00E24304">
      <w:pPr>
        <w:tabs>
          <w:tab w:val="left" w:pos="4388"/>
        </w:tabs>
        <w:ind w:firstLine="567"/>
        <w:jc w:val="both"/>
        <w:rPr>
          <w:noProof/>
        </w:rPr>
      </w:pPr>
      <w:r>
        <w:rPr>
          <w:noProof/>
        </w:rPr>
        <w:t>–налагодження енергоефективності будівель та приміщень, покращення матеріально-технічної та навчально-методичної бази навчальних закладів, благоустрій територій;</w:t>
      </w:r>
    </w:p>
    <w:p w:rsidR="00E24304" w:rsidRDefault="00E24304" w:rsidP="00E24304">
      <w:pPr>
        <w:tabs>
          <w:tab w:val="left" w:pos="4388"/>
        </w:tabs>
        <w:ind w:firstLine="567"/>
        <w:jc w:val="both"/>
        <w:rPr>
          <w:noProof/>
        </w:rPr>
      </w:pPr>
      <w:r>
        <w:rPr>
          <w:noProof/>
        </w:rPr>
        <w:t>–розробка і запровадження нових педагогічних технологій, інформатизація освіти, забезпеченість навчальних закладів та установ комп’ютерною та мультимедійною технікою, ліцензійним програмним забезпеченням тощо для вирішення актуальних завдань навчання, виховання, розвитку та управління;</w:t>
      </w:r>
    </w:p>
    <w:p w:rsidR="00E24304" w:rsidRDefault="00E24304" w:rsidP="00E24304">
      <w:pPr>
        <w:tabs>
          <w:tab w:val="left" w:pos="4388"/>
        </w:tabs>
        <w:ind w:firstLine="567"/>
        <w:jc w:val="both"/>
        <w:rPr>
          <w:noProof/>
        </w:rPr>
      </w:pPr>
      <w:r>
        <w:rPr>
          <w:noProof/>
        </w:rPr>
        <w:t>–участь обдарованих дітей в інтелектуальних, творчих та спортивних заходах, що проводяться за межами громади, обмін досвідом, а також стимулювання учнів, педагогів та навчальних закладів до участі в інтелектуальних, творчих та спортивних заходах;</w:t>
      </w:r>
    </w:p>
    <w:p w:rsidR="00E24304" w:rsidRDefault="00E24304" w:rsidP="00E24304">
      <w:pPr>
        <w:tabs>
          <w:tab w:val="left" w:pos="4388"/>
        </w:tabs>
        <w:ind w:firstLine="567"/>
        <w:jc w:val="both"/>
        <w:rPr>
          <w:noProof/>
        </w:rPr>
      </w:pPr>
      <w:r>
        <w:rPr>
          <w:noProof/>
        </w:rPr>
        <w:t>–достатня соціально-психологічна готовність всіх учасників навчально-виховного процесу до інклюзивного та інтегрованого навчання та виховання дітей з особливими освітніми потребами;</w:t>
      </w:r>
    </w:p>
    <w:p w:rsidR="00E24304" w:rsidRDefault="00E24304" w:rsidP="00E24304">
      <w:pPr>
        <w:tabs>
          <w:tab w:val="left" w:pos="4388"/>
        </w:tabs>
        <w:ind w:firstLine="567"/>
        <w:jc w:val="both"/>
        <w:rPr>
          <w:noProof/>
        </w:rPr>
      </w:pPr>
      <w:r>
        <w:rPr>
          <w:noProof/>
        </w:rPr>
        <w:t>–інформаційно-комунікаційні технології суттєво розширять можливості педагога, оптимізують управлінські процеси, формуючи таким чином в учня важливі для нашого століття технологічні компетентності.</w:t>
      </w:r>
    </w:p>
    <w:p w:rsidR="00E24304" w:rsidRDefault="00E24304" w:rsidP="00E24304">
      <w:pPr>
        <w:tabs>
          <w:tab w:val="left" w:pos="4388"/>
        </w:tabs>
        <w:ind w:firstLine="567"/>
        <w:jc w:val="both"/>
        <w:rPr>
          <w:noProof/>
        </w:rPr>
      </w:pPr>
    </w:p>
    <w:p w:rsidR="00E24304" w:rsidRDefault="00E24304" w:rsidP="00E24304">
      <w:pPr>
        <w:tabs>
          <w:tab w:val="left" w:pos="4388"/>
        </w:tabs>
        <w:ind w:firstLine="567"/>
        <w:jc w:val="center"/>
        <w:rPr>
          <w:noProof/>
        </w:rPr>
      </w:pPr>
      <w:r>
        <w:rPr>
          <w:b/>
          <w:noProof/>
        </w:rPr>
        <w:t>Охорона здоров’я</w:t>
      </w:r>
    </w:p>
    <w:p w:rsidR="00E24304" w:rsidRDefault="00E24304" w:rsidP="00E24304">
      <w:pPr>
        <w:tabs>
          <w:tab w:val="left" w:pos="4388"/>
        </w:tabs>
        <w:ind w:firstLine="567"/>
        <w:jc w:val="both"/>
        <w:rPr>
          <w:noProof/>
        </w:rPr>
      </w:pPr>
      <w:r>
        <w:rPr>
          <w:noProof/>
        </w:rPr>
        <w:t>Мережа закладів галузі «Охорона здоров’я» налічує 2 комунальні неприбуткові підприємства:</w:t>
      </w:r>
    </w:p>
    <w:p w:rsidR="00E24304" w:rsidRDefault="00E24304" w:rsidP="00E24304">
      <w:pPr>
        <w:tabs>
          <w:tab w:val="left" w:pos="4388"/>
        </w:tabs>
        <w:ind w:firstLine="567"/>
        <w:jc w:val="both"/>
        <w:rPr>
          <w:noProof/>
        </w:rPr>
      </w:pPr>
      <w:r>
        <w:rPr>
          <w:noProof/>
        </w:rPr>
        <w:t>Рахівська районна лікарня.</w:t>
      </w:r>
    </w:p>
    <w:p w:rsidR="00E24304" w:rsidRDefault="00E24304" w:rsidP="00E24304">
      <w:pPr>
        <w:tabs>
          <w:tab w:val="left" w:pos="4388"/>
        </w:tabs>
        <w:ind w:firstLine="567"/>
        <w:jc w:val="both"/>
        <w:rPr>
          <w:noProof/>
        </w:rPr>
      </w:pPr>
      <w:r>
        <w:rPr>
          <w:noProof/>
        </w:rPr>
        <w:t>Рахівський центр первинної медико-санітарної допомоги.</w:t>
      </w:r>
    </w:p>
    <w:p w:rsidR="00E24304" w:rsidRDefault="00E24304" w:rsidP="00E24304">
      <w:pPr>
        <w:tabs>
          <w:tab w:val="left" w:pos="4388"/>
        </w:tabs>
        <w:ind w:firstLine="567"/>
        <w:jc w:val="both"/>
        <w:rPr>
          <w:noProof/>
        </w:rPr>
      </w:pPr>
      <w:r>
        <w:rPr>
          <w:noProof/>
        </w:rPr>
        <w:lastRenderedPageBreak/>
        <w:t>Метою діяльності галузі являється збереження та зміцнення здоров’я мешканців ТГ,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p w:rsidR="00E24304" w:rsidRDefault="00E24304" w:rsidP="00E24304">
      <w:pPr>
        <w:tabs>
          <w:tab w:val="left" w:pos="4388"/>
        </w:tabs>
        <w:ind w:firstLine="567"/>
        <w:jc w:val="both"/>
        <w:rPr>
          <w:i/>
          <w:noProof/>
        </w:rPr>
      </w:pPr>
      <w:r>
        <w:rPr>
          <w:i/>
          <w:noProof/>
        </w:rPr>
        <w:t>Пріоритетами розвитку галузі є:</w:t>
      </w:r>
    </w:p>
    <w:p w:rsidR="00E24304" w:rsidRDefault="00E24304" w:rsidP="00E24304">
      <w:pPr>
        <w:tabs>
          <w:tab w:val="left" w:pos="4388"/>
        </w:tabs>
        <w:ind w:firstLine="567"/>
        <w:jc w:val="both"/>
        <w:rPr>
          <w:noProof/>
        </w:rPr>
      </w:pPr>
      <w:r>
        <w:rPr>
          <w:noProof/>
        </w:rPr>
        <w:t>–підвищення якості та доступності медичних послуг;</w:t>
      </w:r>
    </w:p>
    <w:p w:rsidR="00E24304" w:rsidRDefault="00E24304" w:rsidP="00E24304">
      <w:pPr>
        <w:tabs>
          <w:tab w:val="left" w:pos="4388"/>
        </w:tabs>
        <w:ind w:firstLine="567"/>
        <w:jc w:val="both"/>
        <w:rPr>
          <w:noProof/>
        </w:rPr>
      </w:pPr>
      <w:r>
        <w:rPr>
          <w:noProof/>
        </w:rPr>
        <w:t>–поліпшення здоров’я громадян шляхом створення умов для забезпечення високоякісної медичної допомоги кожному мешканцю громади.;</w:t>
      </w:r>
    </w:p>
    <w:p w:rsidR="00E24304" w:rsidRDefault="00E24304" w:rsidP="00E24304">
      <w:pPr>
        <w:tabs>
          <w:tab w:val="left" w:pos="4388"/>
        </w:tabs>
        <w:ind w:firstLine="567"/>
        <w:jc w:val="both"/>
        <w:rPr>
          <w:noProof/>
        </w:rPr>
      </w:pPr>
      <w:r>
        <w:rPr>
          <w:noProof/>
        </w:rPr>
        <w:t>–запровадження сучасних медичних технологій у практику надання медичної допомоги, профілактика та раннє виявлення захворювань, сприяння зміцненню стану здоров’я та збільшенню тривалості життя населення;</w:t>
      </w:r>
    </w:p>
    <w:p w:rsidR="00E24304" w:rsidRDefault="00E24304" w:rsidP="00E24304">
      <w:pPr>
        <w:tabs>
          <w:tab w:val="left" w:pos="4388"/>
        </w:tabs>
        <w:ind w:firstLine="567"/>
        <w:jc w:val="both"/>
        <w:rPr>
          <w:noProof/>
        </w:rPr>
      </w:pPr>
      <w:r>
        <w:rPr>
          <w:noProof/>
        </w:rPr>
        <w:t>–втілення приватно-державного партнерства у сфері надання кваліфікованих медичних послуг, а також реалізація державних реформ у сфері охорони здоров’я.</w:t>
      </w:r>
    </w:p>
    <w:p w:rsidR="00E24304" w:rsidRDefault="00E24304" w:rsidP="00E24304">
      <w:pPr>
        <w:tabs>
          <w:tab w:val="left" w:pos="4388"/>
        </w:tabs>
        <w:ind w:firstLine="567"/>
        <w:jc w:val="both"/>
        <w:rPr>
          <w:i/>
          <w:noProof/>
        </w:rPr>
      </w:pPr>
      <w:r>
        <w:rPr>
          <w:i/>
          <w:noProof/>
        </w:rPr>
        <w:t>Основні заходи для досягнення визначених завдань:</w:t>
      </w:r>
    </w:p>
    <w:p w:rsidR="00E24304" w:rsidRDefault="00E24304" w:rsidP="00E24304">
      <w:pPr>
        <w:tabs>
          <w:tab w:val="left" w:pos="4388"/>
        </w:tabs>
        <w:ind w:firstLine="567"/>
        <w:jc w:val="both"/>
        <w:rPr>
          <w:noProof/>
        </w:rPr>
      </w:pPr>
      <w:r>
        <w:rPr>
          <w:noProof/>
        </w:rPr>
        <w:t>–удосконалення роботи Центру первинної медико-санітарної допомоги;</w:t>
      </w:r>
    </w:p>
    <w:p w:rsidR="00E24304" w:rsidRDefault="00E24304" w:rsidP="00E24304">
      <w:pPr>
        <w:tabs>
          <w:tab w:val="left" w:pos="4388"/>
        </w:tabs>
        <w:ind w:firstLine="567"/>
        <w:jc w:val="both"/>
        <w:rPr>
          <w:noProof/>
        </w:rPr>
      </w:pPr>
      <w:r>
        <w:rPr>
          <w:noProof/>
        </w:rPr>
        <w:t>–продовження оновлення матеріально-технічної бази закладів;</w:t>
      </w:r>
    </w:p>
    <w:p w:rsidR="00E24304" w:rsidRDefault="00E24304" w:rsidP="00E24304">
      <w:pPr>
        <w:tabs>
          <w:tab w:val="left" w:pos="4388"/>
        </w:tabs>
        <w:ind w:firstLine="567"/>
        <w:jc w:val="both"/>
        <w:rPr>
          <w:noProof/>
        </w:rPr>
      </w:pPr>
      <w:r>
        <w:rPr>
          <w:noProof/>
        </w:rPr>
        <w:t>–впровадження новітніх технологій в галузі з метою надання якісної медичної допомоги населенню.</w:t>
      </w:r>
    </w:p>
    <w:p w:rsidR="00E24304" w:rsidRDefault="00E24304" w:rsidP="00E24304">
      <w:pPr>
        <w:tabs>
          <w:tab w:val="left" w:pos="4388"/>
        </w:tabs>
        <w:ind w:firstLine="567"/>
        <w:jc w:val="both"/>
        <w:rPr>
          <w:i/>
          <w:noProof/>
        </w:rPr>
      </w:pPr>
      <w:r>
        <w:rPr>
          <w:i/>
          <w:noProof/>
        </w:rPr>
        <w:t>Результати, яких планується досягти від реалізації заходів:</w:t>
      </w:r>
    </w:p>
    <w:p w:rsidR="00E24304" w:rsidRDefault="00E24304" w:rsidP="00E24304">
      <w:pPr>
        <w:tabs>
          <w:tab w:val="left" w:pos="4388"/>
        </w:tabs>
        <w:ind w:firstLine="567"/>
        <w:jc w:val="both"/>
        <w:rPr>
          <w:noProof/>
        </w:rPr>
      </w:pPr>
      <w:r>
        <w:rPr>
          <w:noProof/>
        </w:rPr>
        <w:t>–проведення заходів (лекції, круглі столи, зустрічі) та поширення інформації (через ЗМІ) щодо активної пропаганди здорового способу життя як основного чинника збереження та покращення здоров’я;</w:t>
      </w:r>
    </w:p>
    <w:p w:rsidR="00E24304" w:rsidRDefault="00E24304" w:rsidP="00E24304">
      <w:pPr>
        <w:tabs>
          <w:tab w:val="left" w:pos="4388"/>
        </w:tabs>
        <w:ind w:firstLine="567"/>
        <w:jc w:val="both"/>
        <w:rPr>
          <w:noProof/>
        </w:rPr>
      </w:pPr>
      <w:r>
        <w:rPr>
          <w:noProof/>
        </w:rPr>
        <w:t>–вжиття комплексних заходів, направлених на забезпечення населення якісними медичними послугами;</w:t>
      </w:r>
    </w:p>
    <w:p w:rsidR="00E24304" w:rsidRDefault="00E24304" w:rsidP="00E24304">
      <w:pPr>
        <w:tabs>
          <w:tab w:val="left" w:pos="4388"/>
        </w:tabs>
        <w:ind w:firstLine="567"/>
        <w:jc w:val="both"/>
        <w:rPr>
          <w:noProof/>
        </w:rPr>
      </w:pPr>
      <w:r>
        <w:rPr>
          <w:noProof/>
        </w:rPr>
        <w:t>–своєчасне та у повному обсязі проведення діагностики туберкульозу серед населення з метою виявлення захворювання на ранніх стадіях;</w:t>
      </w:r>
    </w:p>
    <w:p w:rsidR="00E24304" w:rsidRDefault="00E24304" w:rsidP="00E24304">
      <w:pPr>
        <w:tabs>
          <w:tab w:val="left" w:pos="4388"/>
        </w:tabs>
        <w:ind w:firstLine="567"/>
        <w:jc w:val="both"/>
        <w:rPr>
          <w:noProof/>
        </w:rPr>
      </w:pPr>
      <w:r>
        <w:rPr>
          <w:noProof/>
        </w:rPr>
        <w:t>–медичне забезпечення пільгових категорії населення, зокрема учасників АТО, військовослужбовців;</w:t>
      </w:r>
    </w:p>
    <w:p w:rsidR="00E24304" w:rsidRDefault="00E24304" w:rsidP="00E24304">
      <w:pPr>
        <w:tabs>
          <w:tab w:val="left" w:pos="4388"/>
        </w:tabs>
        <w:ind w:firstLine="567"/>
        <w:jc w:val="both"/>
        <w:rPr>
          <w:noProof/>
        </w:rPr>
      </w:pPr>
      <w:r>
        <w:rPr>
          <w:noProof/>
        </w:rPr>
        <w:t>–впровадження у лікувально-профілактичних закладах заходів з енергозбереження;</w:t>
      </w:r>
    </w:p>
    <w:p w:rsidR="00E24304" w:rsidRDefault="00E24304" w:rsidP="00E24304">
      <w:pPr>
        <w:tabs>
          <w:tab w:val="left" w:pos="4388"/>
        </w:tabs>
        <w:ind w:firstLine="567"/>
        <w:jc w:val="both"/>
        <w:rPr>
          <w:noProof/>
        </w:rPr>
      </w:pPr>
      <w:r>
        <w:rPr>
          <w:noProof/>
        </w:rPr>
        <w:t>–доведення санітарно-технічного стану приміщень до вимог ДБН та САНПіН, забезпечення умов праці працюючих в галузі до санітарно-гігієнічних вимог;</w:t>
      </w:r>
    </w:p>
    <w:p w:rsidR="00E24304" w:rsidRDefault="00E24304" w:rsidP="00E24304">
      <w:pPr>
        <w:tabs>
          <w:tab w:val="left" w:pos="4388"/>
        </w:tabs>
        <w:ind w:firstLine="567"/>
        <w:jc w:val="both"/>
        <w:rPr>
          <w:noProof/>
        </w:rPr>
      </w:pPr>
      <w:r>
        <w:rPr>
          <w:noProof/>
        </w:rPr>
        <w:t>–продовження впровадження медичної реформи за такими напрямками:</w:t>
      </w:r>
    </w:p>
    <w:p w:rsidR="00E24304" w:rsidRDefault="00E24304" w:rsidP="00E24304">
      <w:pPr>
        <w:tabs>
          <w:tab w:val="left" w:pos="4388"/>
        </w:tabs>
        <w:ind w:firstLine="567"/>
        <w:jc w:val="both"/>
        <w:rPr>
          <w:noProof/>
        </w:rPr>
      </w:pPr>
      <w:r>
        <w:rPr>
          <w:noProof/>
        </w:rPr>
        <w:t>оновлення матеріально-технічної бази закладів;</w:t>
      </w:r>
    </w:p>
    <w:p w:rsidR="00E24304" w:rsidRDefault="00E24304" w:rsidP="00E24304">
      <w:pPr>
        <w:tabs>
          <w:tab w:val="left" w:pos="4388"/>
        </w:tabs>
        <w:ind w:firstLine="567"/>
        <w:jc w:val="both"/>
        <w:rPr>
          <w:noProof/>
        </w:rPr>
      </w:pPr>
      <w:r>
        <w:rPr>
          <w:noProof/>
        </w:rPr>
        <w:t>впровадження новітніх технологій в галузі з метою надання якісної медичної допомоги населенню.</w:t>
      </w:r>
    </w:p>
    <w:p w:rsidR="00E24304" w:rsidRDefault="00E24304" w:rsidP="00E24304">
      <w:pPr>
        <w:tabs>
          <w:tab w:val="left" w:pos="4388"/>
        </w:tabs>
        <w:ind w:firstLine="567"/>
        <w:jc w:val="both"/>
        <w:rPr>
          <w:noProof/>
        </w:rPr>
      </w:pPr>
    </w:p>
    <w:p w:rsidR="00E24304" w:rsidRDefault="00E24304" w:rsidP="00E24304">
      <w:pPr>
        <w:tabs>
          <w:tab w:val="left" w:pos="4388"/>
        </w:tabs>
        <w:ind w:firstLine="567"/>
        <w:jc w:val="center"/>
        <w:rPr>
          <w:noProof/>
        </w:rPr>
      </w:pPr>
      <w:r>
        <w:rPr>
          <w:b/>
          <w:noProof/>
        </w:rPr>
        <w:t>Соціальний захист та соціальне забезпечення</w:t>
      </w:r>
    </w:p>
    <w:p w:rsidR="00E24304" w:rsidRDefault="00E24304" w:rsidP="00E24304">
      <w:pPr>
        <w:tabs>
          <w:tab w:val="left" w:pos="4388"/>
        </w:tabs>
        <w:ind w:firstLine="567"/>
        <w:jc w:val="both"/>
        <w:rPr>
          <w:noProof/>
        </w:rPr>
      </w:pPr>
      <w:r>
        <w:rPr>
          <w:noProof/>
        </w:rPr>
        <w:t>Мережа закладів галузі «Соціальний захист та соціальне забезпечення» налічує 2 бюджетні установи:</w:t>
      </w:r>
    </w:p>
    <w:p w:rsidR="00E24304" w:rsidRDefault="00E24304" w:rsidP="00E24304">
      <w:pPr>
        <w:tabs>
          <w:tab w:val="left" w:pos="4388"/>
        </w:tabs>
        <w:ind w:firstLine="567"/>
        <w:jc w:val="both"/>
        <w:rPr>
          <w:noProof/>
        </w:rPr>
      </w:pPr>
      <w:r>
        <w:rPr>
          <w:noProof/>
        </w:rPr>
        <w:t>центр надання соціальних послуг;</w:t>
      </w:r>
    </w:p>
    <w:p w:rsidR="00E24304" w:rsidRDefault="00E24304" w:rsidP="00E24304">
      <w:pPr>
        <w:tabs>
          <w:tab w:val="left" w:pos="4388"/>
        </w:tabs>
        <w:ind w:firstLine="567"/>
        <w:jc w:val="both"/>
        <w:rPr>
          <w:noProof/>
        </w:rPr>
      </w:pPr>
      <w:r>
        <w:rPr>
          <w:noProof/>
        </w:rPr>
        <w:t>комунальна установа  „Рахівський міський центр комплексної реабілітації для осіб з інвалідністю”.</w:t>
      </w:r>
    </w:p>
    <w:p w:rsidR="00E24304" w:rsidRDefault="00E24304" w:rsidP="00E24304">
      <w:pPr>
        <w:tabs>
          <w:tab w:val="left" w:pos="4388"/>
        </w:tabs>
        <w:ind w:firstLine="567"/>
        <w:jc w:val="both"/>
        <w:rPr>
          <w:noProof/>
        </w:rPr>
      </w:pPr>
      <w:r>
        <w:rPr>
          <w:noProof/>
        </w:rPr>
        <w:t>На виконання програм соціальної направленості з метою підвищення соціальної захищеності найбільш вразливих верств населення, спрямовуються кошти бюджету територіальної громади, зокрема:</w:t>
      </w:r>
    </w:p>
    <w:p w:rsidR="00E24304" w:rsidRDefault="00E24304" w:rsidP="00E24304">
      <w:pPr>
        <w:tabs>
          <w:tab w:val="left" w:pos="4388"/>
        </w:tabs>
        <w:ind w:firstLine="567"/>
        <w:jc w:val="both"/>
        <w:rPr>
          <w:noProof/>
        </w:rPr>
      </w:pPr>
      <w:r>
        <w:rPr>
          <w:noProof/>
        </w:rPr>
        <w:t>- Програма ''Турбота'' Рахівської міської ради на 2025-2027 роки;</w:t>
      </w:r>
    </w:p>
    <w:p w:rsidR="00E24304" w:rsidRDefault="00E24304" w:rsidP="00E24304">
      <w:pPr>
        <w:tabs>
          <w:tab w:val="left" w:pos="4388"/>
        </w:tabs>
        <w:ind w:firstLine="567"/>
        <w:jc w:val="both"/>
        <w:rPr>
          <w:noProof/>
        </w:rPr>
      </w:pPr>
      <w:r>
        <w:rPr>
          <w:noProof/>
        </w:rPr>
        <w:t>- Програма ''Захист'' щодо соціальної підтримки та реабілітації ветеранів війни, військовослужбовців та членів їх сімей на 2025-2027 роки;</w:t>
      </w:r>
    </w:p>
    <w:p w:rsidR="00E24304" w:rsidRDefault="00E24304" w:rsidP="00E24304">
      <w:pPr>
        <w:tabs>
          <w:tab w:val="left" w:pos="4388"/>
        </w:tabs>
        <w:ind w:firstLine="567"/>
        <w:jc w:val="both"/>
        <w:rPr>
          <w:i/>
          <w:noProof/>
        </w:rPr>
      </w:pPr>
      <w:r>
        <w:rPr>
          <w:i/>
          <w:noProof/>
        </w:rPr>
        <w:t>Пріоритетами розвитку галузі є:</w:t>
      </w:r>
    </w:p>
    <w:p w:rsidR="00E24304" w:rsidRDefault="00E24304" w:rsidP="00E24304">
      <w:pPr>
        <w:tabs>
          <w:tab w:val="left" w:pos="4388"/>
        </w:tabs>
        <w:ind w:firstLine="567"/>
        <w:jc w:val="both"/>
        <w:rPr>
          <w:noProof/>
        </w:rPr>
      </w:pPr>
      <w:r>
        <w:rPr>
          <w:noProof/>
        </w:rPr>
        <w:t xml:space="preserve">–реалізація конституційних гарантій та прав громадян на соціальний захист, забезпечення адресності та матеріальної підтримки найбільш вразливих верств населення: </w:t>
      </w:r>
      <w:r>
        <w:rPr>
          <w:noProof/>
        </w:rPr>
        <w:lastRenderedPageBreak/>
        <w:t xml:space="preserve">ветеранів війни та праці, осіб з інвалідністю, одиноких пенсіонерів, непрацездатних осіб, громадян похилого віку, сімей з дітьми, дітей з інвалідністю, захисників України та членів їх сімей, та інших осіб, які опинилися в складних життєвих обставинах; </w:t>
      </w:r>
    </w:p>
    <w:p w:rsidR="00E24304" w:rsidRDefault="00E24304" w:rsidP="00E24304">
      <w:pPr>
        <w:tabs>
          <w:tab w:val="left" w:pos="4388"/>
        </w:tabs>
        <w:ind w:firstLine="567"/>
        <w:jc w:val="both"/>
        <w:rPr>
          <w:noProof/>
        </w:rPr>
      </w:pPr>
      <w:r>
        <w:rPr>
          <w:noProof/>
        </w:rPr>
        <w:t>–забезпечення соціальної підтримки та надання соціальних послуг дітям, молоді та сім’ям, які опинились у складних життєвих обставинах,                        а саме:</w:t>
      </w:r>
    </w:p>
    <w:p w:rsidR="00E24304" w:rsidRDefault="00E24304" w:rsidP="00E24304">
      <w:pPr>
        <w:tabs>
          <w:tab w:val="left" w:pos="4388"/>
        </w:tabs>
        <w:ind w:firstLine="567"/>
        <w:jc w:val="both"/>
        <w:rPr>
          <w:noProof/>
        </w:rPr>
      </w:pPr>
      <w:r>
        <w:rPr>
          <w:noProof/>
        </w:rPr>
        <w:t>-проведення соціально – просвітницької роботи, спрямованої на запобігання потраплянню в складні життєві обставини сімей, дітей та молоді;</w:t>
      </w:r>
    </w:p>
    <w:p w:rsidR="00E24304" w:rsidRDefault="00E24304" w:rsidP="00E24304">
      <w:pPr>
        <w:tabs>
          <w:tab w:val="left" w:pos="4388"/>
        </w:tabs>
        <w:ind w:firstLine="567"/>
        <w:jc w:val="both"/>
        <w:rPr>
          <w:noProof/>
        </w:rPr>
      </w:pPr>
      <w:r>
        <w:rPr>
          <w:noProof/>
        </w:rPr>
        <w:t>-своєчасне виявлення сімей, дітей та молоді, які перебувають у складних життєвих обставинах і потребують сторонньої допомоги;</w:t>
      </w:r>
    </w:p>
    <w:p w:rsidR="00E24304" w:rsidRDefault="00E24304" w:rsidP="00E24304">
      <w:pPr>
        <w:tabs>
          <w:tab w:val="left" w:pos="4388"/>
        </w:tabs>
        <w:ind w:firstLine="567"/>
        <w:jc w:val="both"/>
        <w:rPr>
          <w:noProof/>
        </w:rPr>
      </w:pPr>
      <w:r>
        <w:rPr>
          <w:noProof/>
        </w:rPr>
        <w:t>-соціальна адаптація дітей-сиріт і дітей, позбавлених батьківського піклування, осіб з їх числа;</w:t>
      </w:r>
    </w:p>
    <w:p w:rsidR="00E24304" w:rsidRDefault="00E24304" w:rsidP="00E24304">
      <w:pPr>
        <w:tabs>
          <w:tab w:val="left" w:pos="4388"/>
        </w:tabs>
        <w:ind w:firstLine="567"/>
        <w:jc w:val="both"/>
        <w:rPr>
          <w:noProof/>
        </w:rPr>
      </w:pPr>
      <w:r>
        <w:rPr>
          <w:noProof/>
        </w:rPr>
        <w:t>-організація здійснення патронату та наставництва;</w:t>
      </w:r>
    </w:p>
    <w:p w:rsidR="00E24304" w:rsidRDefault="00E24304" w:rsidP="00E24304">
      <w:pPr>
        <w:tabs>
          <w:tab w:val="left" w:pos="4388"/>
        </w:tabs>
        <w:ind w:firstLine="567"/>
        <w:jc w:val="both"/>
        <w:rPr>
          <w:noProof/>
        </w:rPr>
      </w:pPr>
      <w:r>
        <w:rPr>
          <w:noProof/>
        </w:rPr>
        <w:t>-соціальний патронаж молодих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E24304" w:rsidRDefault="00E24304" w:rsidP="00E24304">
      <w:pPr>
        <w:tabs>
          <w:tab w:val="left" w:pos="4388"/>
        </w:tabs>
        <w:ind w:firstLine="567"/>
        <w:jc w:val="both"/>
        <w:rPr>
          <w:noProof/>
        </w:rPr>
      </w:pPr>
      <w:r>
        <w:rPr>
          <w:noProof/>
        </w:rPr>
        <w:t>-профілактика раннього соціального сирітства, здійснення соціальної роботи з сім’ями, діти з яких перебувають в інтернатних закладах за заявою батьків;</w:t>
      </w:r>
    </w:p>
    <w:p w:rsidR="00E24304" w:rsidRDefault="00E24304" w:rsidP="00E24304">
      <w:pPr>
        <w:tabs>
          <w:tab w:val="left" w:pos="4388"/>
        </w:tabs>
        <w:ind w:firstLine="567"/>
        <w:jc w:val="both"/>
        <w:rPr>
          <w:noProof/>
        </w:rPr>
      </w:pPr>
      <w:r>
        <w:rPr>
          <w:noProof/>
        </w:rPr>
        <w:t>-профілактика соціального сирітства, надання соціальних послуг жінкам, які опинились в складних життєвих обставинах та мають намір відмовитись від дитини;</w:t>
      </w:r>
    </w:p>
    <w:p w:rsidR="00E24304" w:rsidRDefault="00E24304" w:rsidP="00E24304">
      <w:pPr>
        <w:tabs>
          <w:tab w:val="left" w:pos="4388"/>
        </w:tabs>
        <w:ind w:firstLine="567"/>
        <w:jc w:val="both"/>
        <w:rPr>
          <w:i/>
          <w:noProof/>
        </w:rPr>
      </w:pPr>
      <w:r>
        <w:rPr>
          <w:i/>
          <w:noProof/>
        </w:rPr>
        <w:t>Основні заходи для досягнення визначених завдань:</w:t>
      </w:r>
    </w:p>
    <w:p w:rsidR="00E24304" w:rsidRDefault="00E24304" w:rsidP="00E24304">
      <w:pPr>
        <w:tabs>
          <w:tab w:val="left" w:pos="4388"/>
        </w:tabs>
        <w:ind w:firstLine="567"/>
        <w:jc w:val="both"/>
        <w:rPr>
          <w:noProof/>
        </w:rPr>
      </w:pPr>
      <w:r>
        <w:rPr>
          <w:noProof/>
        </w:rPr>
        <w:t>–пропагування сімейних цінностей, відповідального батьківства, гендерної рівності серед сімей з низьким батьківським потенціалом;</w:t>
      </w:r>
    </w:p>
    <w:p w:rsidR="00E24304" w:rsidRDefault="00E24304" w:rsidP="00E24304">
      <w:pPr>
        <w:tabs>
          <w:tab w:val="left" w:pos="4388"/>
        </w:tabs>
        <w:ind w:firstLine="567"/>
        <w:jc w:val="both"/>
        <w:rPr>
          <w:noProof/>
        </w:rPr>
      </w:pPr>
      <w:r>
        <w:rPr>
          <w:noProof/>
        </w:rPr>
        <w:t>–соціалізація жінок з дітьми та забезпечення права дитини на виховання в сімейному оточенні;</w:t>
      </w:r>
    </w:p>
    <w:p w:rsidR="00E24304" w:rsidRDefault="00E24304" w:rsidP="00E24304">
      <w:pPr>
        <w:tabs>
          <w:tab w:val="left" w:pos="4388"/>
        </w:tabs>
        <w:ind w:firstLine="567"/>
        <w:jc w:val="both"/>
        <w:rPr>
          <w:noProof/>
        </w:rPr>
      </w:pPr>
      <w:r>
        <w:rPr>
          <w:noProof/>
        </w:rPr>
        <w:t>–вчасне нарахування та виплата усіх видів допомог, компенсацій, надання пільг;</w:t>
      </w:r>
    </w:p>
    <w:p w:rsidR="00E24304" w:rsidRDefault="00E24304" w:rsidP="00E24304">
      <w:pPr>
        <w:tabs>
          <w:tab w:val="left" w:pos="4388"/>
        </w:tabs>
        <w:ind w:firstLine="567"/>
        <w:jc w:val="both"/>
        <w:rPr>
          <w:noProof/>
        </w:rPr>
      </w:pPr>
      <w:r>
        <w:rPr>
          <w:noProof/>
        </w:rPr>
        <w:t>–проведення моніторингу потреби населення в соціальних послугах та допомогах, визначення та сприяння наданню додаткових пільг та соціальних  гарантій за рахунок коштів бюджету найнужденнішим мешканцям ТГ;</w:t>
      </w:r>
    </w:p>
    <w:p w:rsidR="00E24304" w:rsidRDefault="00E24304" w:rsidP="00E24304">
      <w:pPr>
        <w:tabs>
          <w:tab w:val="left" w:pos="4388"/>
        </w:tabs>
        <w:ind w:firstLine="567"/>
        <w:jc w:val="both"/>
        <w:rPr>
          <w:noProof/>
        </w:rPr>
      </w:pPr>
      <w:r>
        <w:rPr>
          <w:noProof/>
        </w:rPr>
        <w:t>–реалізація завдань програми ''Турбота'' Рахівської міської ради на 2025-2027 роки, програми ''Захист'' щодо соціальної підтримки та реабілітації ветеранів війни, військовослужбовців та членів їх сімей на 2025-2027 роки, а саме:</w:t>
      </w:r>
    </w:p>
    <w:p w:rsidR="00E24304" w:rsidRDefault="00E24304" w:rsidP="00E24304">
      <w:pPr>
        <w:tabs>
          <w:tab w:val="left" w:pos="4388"/>
        </w:tabs>
        <w:ind w:firstLine="567"/>
        <w:jc w:val="both"/>
        <w:rPr>
          <w:noProof/>
        </w:rPr>
      </w:pPr>
      <w:r>
        <w:rPr>
          <w:noProof/>
        </w:rPr>
        <w:t>-надання матеріальної допомоги окремим категоріям громадян та різних видів матеріальної допомоги захисникам України, членам їх сімей, а також сім’ям загиблих (померлих) захисників України;</w:t>
      </w:r>
    </w:p>
    <w:p w:rsidR="00E24304" w:rsidRDefault="00E24304" w:rsidP="00E24304">
      <w:pPr>
        <w:tabs>
          <w:tab w:val="left" w:pos="4388"/>
        </w:tabs>
        <w:ind w:firstLine="567"/>
        <w:jc w:val="both"/>
        <w:rPr>
          <w:noProof/>
        </w:rPr>
      </w:pPr>
      <w:r>
        <w:rPr>
          <w:noProof/>
        </w:rPr>
        <w:t>-проведення поховання загиблих (померлих) захисників України;</w:t>
      </w:r>
    </w:p>
    <w:p w:rsidR="00E24304" w:rsidRDefault="00E24304" w:rsidP="00E24304">
      <w:pPr>
        <w:tabs>
          <w:tab w:val="left" w:pos="4388"/>
        </w:tabs>
        <w:ind w:firstLine="567"/>
        <w:jc w:val="both"/>
        <w:rPr>
          <w:noProof/>
        </w:rPr>
      </w:pPr>
      <w:r>
        <w:rPr>
          <w:noProof/>
        </w:rPr>
        <w:t>-проведення заходів та надання матеріальної допомоги до святкових та визначних дат ветеранам війни та праці, особам з інвалідністю та дітям з інвалідністю, громадянам, які постраждали внаслідок Чорнобильської катастрофи;</w:t>
      </w:r>
    </w:p>
    <w:p w:rsidR="00E24304" w:rsidRDefault="00E24304" w:rsidP="00E24304">
      <w:pPr>
        <w:tabs>
          <w:tab w:val="left" w:pos="4388"/>
        </w:tabs>
        <w:ind w:firstLine="567"/>
        <w:jc w:val="both"/>
        <w:rPr>
          <w:noProof/>
        </w:rPr>
      </w:pPr>
      <w:r>
        <w:rPr>
          <w:noProof/>
        </w:rPr>
        <w:t>-забезпечення заходів з реалізації сімейної політики, запобігання домашньому насильству та торгівлі людьми;</w:t>
      </w:r>
    </w:p>
    <w:p w:rsidR="00E24304" w:rsidRDefault="00E24304" w:rsidP="00E24304">
      <w:pPr>
        <w:tabs>
          <w:tab w:val="left" w:pos="4388"/>
        </w:tabs>
        <w:ind w:firstLine="567"/>
        <w:jc w:val="both"/>
        <w:rPr>
          <w:noProof/>
        </w:rPr>
      </w:pPr>
      <w:r>
        <w:rPr>
          <w:noProof/>
        </w:rPr>
        <w:t xml:space="preserve">-надання соціальних пільг та гарантій громадянам, які мають особливі заслуги, та сім’ям загиблих; </w:t>
      </w:r>
    </w:p>
    <w:p w:rsidR="00E24304" w:rsidRDefault="00E24304" w:rsidP="00E24304">
      <w:pPr>
        <w:tabs>
          <w:tab w:val="left" w:pos="4388"/>
        </w:tabs>
        <w:ind w:firstLine="567"/>
        <w:jc w:val="both"/>
        <w:rPr>
          <w:noProof/>
        </w:rPr>
      </w:pPr>
      <w:r>
        <w:rPr>
          <w:noProof/>
        </w:rPr>
        <w:t>-забезпечення виплати компенсації фізичним особам, які надають соціальні послуги з догляду на непрофесійній основі;</w:t>
      </w:r>
    </w:p>
    <w:p w:rsidR="00E24304" w:rsidRDefault="00E24304" w:rsidP="00E24304">
      <w:pPr>
        <w:tabs>
          <w:tab w:val="left" w:pos="4388"/>
        </w:tabs>
        <w:ind w:firstLine="567"/>
        <w:jc w:val="both"/>
        <w:rPr>
          <w:noProof/>
        </w:rPr>
      </w:pPr>
      <w:r>
        <w:rPr>
          <w:noProof/>
        </w:rPr>
        <w:t>-координація роботи та організаційно-методичне забезпечення комунальних установ соціального захисту населення.</w:t>
      </w:r>
    </w:p>
    <w:p w:rsidR="00E24304" w:rsidRDefault="00E24304" w:rsidP="00E24304">
      <w:pPr>
        <w:tabs>
          <w:tab w:val="left" w:pos="4388"/>
        </w:tabs>
        <w:ind w:firstLine="567"/>
        <w:jc w:val="both"/>
        <w:rPr>
          <w:noProof/>
        </w:rPr>
      </w:pPr>
      <w:r>
        <w:rPr>
          <w:i/>
          <w:noProof/>
        </w:rPr>
        <w:t>Результати, яких планується досягти від реалізації заходів</w:t>
      </w:r>
      <w:r>
        <w:rPr>
          <w:noProof/>
        </w:rPr>
        <w:t>:</w:t>
      </w:r>
    </w:p>
    <w:p w:rsidR="00E24304" w:rsidRDefault="00E24304" w:rsidP="00E24304">
      <w:pPr>
        <w:tabs>
          <w:tab w:val="left" w:pos="4388"/>
        </w:tabs>
        <w:ind w:firstLine="567"/>
        <w:jc w:val="both"/>
        <w:rPr>
          <w:noProof/>
        </w:rPr>
      </w:pPr>
      <w:r>
        <w:rPr>
          <w:noProof/>
        </w:rPr>
        <w:t>–підвищення престижу багатодітних сімей, охоплення їх заходами соціального захисту;</w:t>
      </w:r>
    </w:p>
    <w:p w:rsidR="00E24304" w:rsidRDefault="00E24304" w:rsidP="00E24304">
      <w:pPr>
        <w:tabs>
          <w:tab w:val="left" w:pos="4388"/>
        </w:tabs>
        <w:ind w:firstLine="567"/>
        <w:jc w:val="both"/>
        <w:rPr>
          <w:noProof/>
        </w:rPr>
      </w:pPr>
      <w:r>
        <w:rPr>
          <w:noProof/>
        </w:rPr>
        <w:t>–зменшення рівня домашнього насильства та створення дієвих механізмів надання допомоги жертвам насильства;</w:t>
      </w:r>
    </w:p>
    <w:p w:rsidR="00E24304" w:rsidRDefault="00E24304" w:rsidP="00E24304">
      <w:pPr>
        <w:tabs>
          <w:tab w:val="left" w:pos="4388"/>
        </w:tabs>
        <w:ind w:firstLine="567"/>
        <w:jc w:val="both"/>
        <w:rPr>
          <w:noProof/>
        </w:rPr>
      </w:pPr>
      <w:r>
        <w:rPr>
          <w:noProof/>
        </w:rPr>
        <w:lastRenderedPageBreak/>
        <w:t>–підвищення рівня психолого-педагогічної культури молоді у сфері сімейних стосунків шляхом проведення тренінгів, семінарів, лекторіїв, виховних годин та практичних занять;</w:t>
      </w:r>
    </w:p>
    <w:p w:rsidR="00E24304" w:rsidRDefault="00E24304" w:rsidP="00E24304">
      <w:pPr>
        <w:tabs>
          <w:tab w:val="left" w:pos="4388"/>
        </w:tabs>
        <w:ind w:firstLine="567"/>
        <w:jc w:val="both"/>
        <w:rPr>
          <w:noProof/>
        </w:rPr>
      </w:pPr>
      <w:r>
        <w:rPr>
          <w:noProof/>
        </w:rPr>
        <w:t>–розвиток та підтримка альтернативних форм сімейного виховання: прийомних сімей, дитячих будинків сімейного типу, патронатних сімей, наставництва;</w:t>
      </w:r>
    </w:p>
    <w:p w:rsidR="00E24304" w:rsidRDefault="00E24304" w:rsidP="00E24304">
      <w:pPr>
        <w:tabs>
          <w:tab w:val="left" w:pos="4388"/>
        </w:tabs>
        <w:ind w:firstLine="567"/>
        <w:jc w:val="both"/>
        <w:rPr>
          <w:noProof/>
        </w:rPr>
      </w:pPr>
      <w:r>
        <w:rPr>
          <w:noProof/>
        </w:rPr>
        <w:t>–популяризація альтернативних форм влаштування дітей-сиріт та дітей, позбавлених батьківського піклування, забезпечення їх соціальним супроводженням;</w:t>
      </w:r>
    </w:p>
    <w:p w:rsidR="00E24304" w:rsidRDefault="00E24304" w:rsidP="00E24304">
      <w:pPr>
        <w:tabs>
          <w:tab w:val="left" w:pos="4388"/>
        </w:tabs>
        <w:ind w:firstLine="567"/>
        <w:jc w:val="both"/>
        <w:rPr>
          <w:noProof/>
        </w:rPr>
      </w:pPr>
      <w:r>
        <w:rPr>
          <w:noProof/>
        </w:rPr>
        <w:t>–поліпшення соціального становища сімей, які опинились в складних життєвих обставинах і не змозі подолати їх самостійно, підвищення батьківського потенціалу, профілактики сімейного неблагополуччя;</w:t>
      </w:r>
    </w:p>
    <w:p w:rsidR="00E24304" w:rsidRDefault="00E24304" w:rsidP="00E24304">
      <w:pPr>
        <w:tabs>
          <w:tab w:val="left" w:pos="4388"/>
        </w:tabs>
        <w:ind w:firstLine="567"/>
        <w:jc w:val="both"/>
        <w:rPr>
          <w:noProof/>
        </w:rPr>
      </w:pPr>
      <w:r>
        <w:rPr>
          <w:noProof/>
        </w:rPr>
        <w:t>–індивідуальний підхід до кожного отримувача послуг, надання їм комплексу соціальних послуг;</w:t>
      </w:r>
    </w:p>
    <w:p w:rsidR="00E24304" w:rsidRDefault="00E24304" w:rsidP="00E24304">
      <w:pPr>
        <w:tabs>
          <w:tab w:val="left" w:pos="4388"/>
        </w:tabs>
        <w:ind w:firstLine="567"/>
        <w:jc w:val="both"/>
        <w:rPr>
          <w:noProof/>
        </w:rPr>
      </w:pPr>
      <w:r>
        <w:rPr>
          <w:noProof/>
        </w:rPr>
        <w:t xml:space="preserve">–виявлення та облік сімей, які опинились в складних життєвих обставинах, та потребують сторонньої допомоги, створення умов для вибору позитивних життєвих орієнтирів та подолання кризових явищ;  </w:t>
      </w:r>
    </w:p>
    <w:p w:rsidR="00E24304" w:rsidRDefault="00E24304" w:rsidP="00E24304">
      <w:pPr>
        <w:tabs>
          <w:tab w:val="left" w:pos="4388"/>
        </w:tabs>
        <w:ind w:firstLine="567"/>
        <w:jc w:val="both"/>
        <w:rPr>
          <w:noProof/>
        </w:rPr>
      </w:pPr>
      <w:r>
        <w:rPr>
          <w:noProof/>
        </w:rPr>
        <w:t>–підтримка гідного рівня життя населення, шляхом виконання програм в частині надання усіх видів соціальної допомоги та пільг, охоплення соціальним захистом максимальної кількості сімей, які потребують підтримку місцевої влади.</w:t>
      </w:r>
    </w:p>
    <w:p w:rsidR="00E24304" w:rsidRDefault="00E24304" w:rsidP="00E24304">
      <w:pPr>
        <w:tabs>
          <w:tab w:val="left" w:pos="4388"/>
        </w:tabs>
        <w:ind w:firstLine="567"/>
        <w:jc w:val="center"/>
        <w:rPr>
          <w:b/>
          <w:noProof/>
        </w:rPr>
      </w:pPr>
    </w:p>
    <w:p w:rsidR="00E24304" w:rsidRDefault="00E24304" w:rsidP="00E24304">
      <w:pPr>
        <w:tabs>
          <w:tab w:val="left" w:pos="4388"/>
        </w:tabs>
        <w:ind w:firstLine="567"/>
        <w:jc w:val="center"/>
        <w:rPr>
          <w:b/>
          <w:noProof/>
        </w:rPr>
      </w:pPr>
      <w:r>
        <w:rPr>
          <w:b/>
          <w:noProof/>
        </w:rPr>
        <w:t>КУЛЬТУРА</w:t>
      </w:r>
    </w:p>
    <w:p w:rsidR="00E24304" w:rsidRDefault="00E24304" w:rsidP="00E24304">
      <w:pPr>
        <w:tabs>
          <w:tab w:val="left" w:pos="709"/>
          <w:tab w:val="left" w:pos="993"/>
        </w:tabs>
        <w:ind w:firstLine="567"/>
        <w:jc w:val="both"/>
        <w:rPr>
          <w:noProof/>
        </w:rPr>
      </w:pPr>
      <w:r>
        <w:rPr>
          <w:noProof/>
        </w:rPr>
        <w:t>Мережа закладів галузі «Культура і мистецтво» налічує 6 бюджетних установ, з них:</w:t>
      </w:r>
    </w:p>
    <w:p w:rsidR="00E24304" w:rsidRDefault="00E24304" w:rsidP="00E24304">
      <w:pPr>
        <w:tabs>
          <w:tab w:val="left" w:pos="709"/>
          <w:tab w:val="left" w:pos="993"/>
        </w:tabs>
        <w:ind w:firstLine="567"/>
        <w:jc w:val="both"/>
        <w:rPr>
          <w:noProof/>
        </w:rPr>
      </w:pPr>
      <w:r>
        <w:rPr>
          <w:noProof/>
        </w:rPr>
        <w:t xml:space="preserve">- 1 публічна бібліотека в підпорядкуванні якої є 5 філій в т.ч: бібліотека-філія для дітей; бібіотека-філія с.Ділове; бібіотека-філія пр.Хмелів; бібіотека-філія с.Білин; бібіотека-філія с.Костилівка; </w:t>
      </w:r>
    </w:p>
    <w:p w:rsidR="00E24304" w:rsidRDefault="00E24304" w:rsidP="00E24304">
      <w:pPr>
        <w:tabs>
          <w:tab w:val="left" w:pos="709"/>
          <w:tab w:val="left" w:pos="993"/>
        </w:tabs>
        <w:ind w:firstLine="567"/>
        <w:jc w:val="both"/>
        <w:rPr>
          <w:noProof/>
        </w:rPr>
      </w:pPr>
      <w:r>
        <w:rPr>
          <w:noProof/>
        </w:rPr>
        <w:t>- 4 будинки культури;</w:t>
      </w:r>
    </w:p>
    <w:p w:rsidR="00E24304" w:rsidRDefault="00E24304" w:rsidP="00E24304">
      <w:pPr>
        <w:tabs>
          <w:tab w:val="left" w:pos="709"/>
          <w:tab w:val="left" w:pos="993"/>
        </w:tabs>
        <w:ind w:firstLine="567"/>
        <w:jc w:val="both"/>
        <w:rPr>
          <w:noProof/>
        </w:rPr>
      </w:pPr>
      <w:r>
        <w:rPr>
          <w:noProof/>
        </w:rPr>
        <w:t>- 1 клуб;</w:t>
      </w:r>
    </w:p>
    <w:p w:rsidR="00E24304" w:rsidRDefault="00E24304" w:rsidP="00E24304">
      <w:pPr>
        <w:tabs>
          <w:tab w:val="left" w:pos="709"/>
          <w:tab w:val="left" w:pos="993"/>
        </w:tabs>
        <w:ind w:firstLine="567"/>
        <w:jc w:val="both"/>
        <w:rPr>
          <w:i/>
          <w:noProof/>
        </w:rPr>
      </w:pPr>
      <w:r>
        <w:rPr>
          <w:i/>
          <w:noProof/>
        </w:rPr>
        <w:t xml:space="preserve">Пріоритетами розвитку галузі є: </w:t>
      </w:r>
    </w:p>
    <w:p w:rsidR="00E24304" w:rsidRDefault="00E24304" w:rsidP="00E24304">
      <w:pPr>
        <w:tabs>
          <w:tab w:val="left" w:pos="709"/>
          <w:tab w:val="left" w:pos="993"/>
        </w:tabs>
        <w:ind w:firstLine="567"/>
        <w:jc w:val="both"/>
        <w:rPr>
          <w:noProof/>
        </w:rPr>
      </w:pPr>
      <w:r>
        <w:rPr>
          <w:noProof/>
        </w:rPr>
        <w:t>–</w:t>
      </w:r>
      <w:r>
        <w:rPr>
          <w:noProof/>
        </w:rPr>
        <w:tab/>
        <w:t>вдосконалення реалізації державної політики у сфері культури;</w:t>
      </w:r>
    </w:p>
    <w:p w:rsidR="00E24304" w:rsidRDefault="00E24304" w:rsidP="00E24304">
      <w:pPr>
        <w:tabs>
          <w:tab w:val="left" w:pos="709"/>
          <w:tab w:val="left" w:pos="993"/>
        </w:tabs>
        <w:ind w:firstLine="567"/>
        <w:jc w:val="both"/>
        <w:rPr>
          <w:noProof/>
        </w:rPr>
      </w:pPr>
      <w:r>
        <w:rPr>
          <w:noProof/>
        </w:rPr>
        <w:t>–</w:t>
      </w:r>
      <w:r>
        <w:rPr>
          <w:noProof/>
        </w:rPr>
        <w:tab/>
        <w:t>збереження та подальший розвиток культурного потенціалу ТГ;</w:t>
      </w:r>
    </w:p>
    <w:p w:rsidR="00E24304" w:rsidRDefault="00E24304" w:rsidP="00E24304">
      <w:pPr>
        <w:tabs>
          <w:tab w:val="left" w:pos="709"/>
          <w:tab w:val="left" w:pos="993"/>
        </w:tabs>
        <w:ind w:firstLine="567"/>
        <w:jc w:val="both"/>
        <w:rPr>
          <w:noProof/>
        </w:rPr>
      </w:pPr>
      <w:r>
        <w:rPr>
          <w:noProof/>
        </w:rPr>
        <w:t>–</w:t>
      </w:r>
      <w:r>
        <w:rPr>
          <w:noProof/>
        </w:rPr>
        <w:tab/>
        <w:t>розвиток культурних традицій, збереження історичних цінностей, забезпечення доступності закладів культури для всіх верств населення;</w:t>
      </w:r>
    </w:p>
    <w:p w:rsidR="00E24304" w:rsidRDefault="00E24304" w:rsidP="00E24304">
      <w:pPr>
        <w:tabs>
          <w:tab w:val="left" w:pos="709"/>
          <w:tab w:val="left" w:pos="993"/>
        </w:tabs>
        <w:ind w:firstLine="567"/>
        <w:jc w:val="both"/>
        <w:rPr>
          <w:noProof/>
        </w:rPr>
      </w:pPr>
      <w:r>
        <w:rPr>
          <w:noProof/>
        </w:rPr>
        <w:t>–</w:t>
      </w:r>
      <w:r>
        <w:rPr>
          <w:noProof/>
        </w:rPr>
        <w:tab/>
        <w:t xml:space="preserve">створення максимально сприятливих умов для творчого  формування особистості, розкриття її здібностей, задоволення духовних і естетичних проблем, відродження народної творчості та популяризації національних звичаїв та обрядів, організацію змістовного дозвілля, масового відпочинку та культурного обслуговування населення. </w:t>
      </w:r>
    </w:p>
    <w:p w:rsidR="00E24304" w:rsidRDefault="00E24304" w:rsidP="00E24304">
      <w:pPr>
        <w:tabs>
          <w:tab w:val="left" w:pos="709"/>
          <w:tab w:val="left" w:pos="993"/>
        </w:tabs>
        <w:ind w:firstLine="567"/>
        <w:jc w:val="both"/>
        <w:rPr>
          <w:i/>
          <w:noProof/>
        </w:rPr>
      </w:pPr>
      <w:r>
        <w:rPr>
          <w:i/>
          <w:noProof/>
        </w:rPr>
        <w:t>Основні заходи для досягнення визначених завдань:</w:t>
      </w:r>
    </w:p>
    <w:p w:rsidR="00E24304" w:rsidRDefault="00E24304" w:rsidP="00E24304">
      <w:pPr>
        <w:tabs>
          <w:tab w:val="left" w:pos="709"/>
          <w:tab w:val="left" w:pos="993"/>
        </w:tabs>
        <w:ind w:firstLine="567"/>
        <w:jc w:val="both"/>
        <w:rPr>
          <w:noProof/>
        </w:rPr>
      </w:pPr>
      <w:r>
        <w:rPr>
          <w:noProof/>
        </w:rPr>
        <w:t>–</w:t>
      </w:r>
      <w:r>
        <w:rPr>
          <w:noProof/>
        </w:rPr>
        <w:tab/>
        <w:t>проведення заходів, фестивалів, конкурсів, оглядів самодіяльної народної творчості, виставок творів образотворчого та декоративно-ужиткового мистецтва, забезпечення здійснення культурно-промоційної діяльності;</w:t>
      </w:r>
    </w:p>
    <w:p w:rsidR="00E24304" w:rsidRDefault="00E24304" w:rsidP="00E24304">
      <w:pPr>
        <w:tabs>
          <w:tab w:val="left" w:pos="709"/>
          <w:tab w:val="left" w:pos="993"/>
        </w:tabs>
        <w:ind w:firstLine="567"/>
        <w:jc w:val="both"/>
        <w:rPr>
          <w:noProof/>
        </w:rPr>
      </w:pPr>
      <w:r>
        <w:rPr>
          <w:noProof/>
        </w:rPr>
        <w:t>–</w:t>
      </w:r>
      <w:r>
        <w:rPr>
          <w:noProof/>
        </w:rPr>
        <w:tab/>
        <w:t>організація та проведення заходів патріотичного виховання та громадянської освіти шляхом проведення патріотично спрямованих акції, навчально-виховних таборів, походів, інформаційних кампаній;</w:t>
      </w:r>
    </w:p>
    <w:p w:rsidR="00E24304" w:rsidRDefault="00E24304" w:rsidP="00E24304">
      <w:pPr>
        <w:tabs>
          <w:tab w:val="left" w:pos="709"/>
          <w:tab w:val="left" w:pos="993"/>
        </w:tabs>
        <w:ind w:firstLine="567"/>
        <w:jc w:val="both"/>
        <w:rPr>
          <w:noProof/>
        </w:rPr>
      </w:pPr>
      <w:r>
        <w:rPr>
          <w:noProof/>
        </w:rPr>
        <w:t>–</w:t>
      </w:r>
      <w:r>
        <w:rPr>
          <w:noProof/>
        </w:rPr>
        <w:tab/>
        <w:t>організація та проведення інформаційних заходів шляхом участі молоді у навальних тренінгових програмах, акціях, семінарах, конкурсах;</w:t>
      </w:r>
    </w:p>
    <w:p w:rsidR="00E24304" w:rsidRDefault="00E24304" w:rsidP="00E24304">
      <w:pPr>
        <w:tabs>
          <w:tab w:val="left" w:pos="709"/>
          <w:tab w:val="left" w:pos="993"/>
        </w:tabs>
        <w:ind w:firstLine="567"/>
        <w:jc w:val="both"/>
        <w:rPr>
          <w:noProof/>
        </w:rPr>
      </w:pPr>
      <w:r>
        <w:rPr>
          <w:noProof/>
        </w:rPr>
        <w:t>–</w:t>
      </w:r>
      <w:r>
        <w:rPr>
          <w:noProof/>
        </w:rPr>
        <w:tab/>
        <w:t>організація заходів з використанням методики неформальної освіти для молоді, спрямованої на набуття молодими людьми знань та навичок шляхом участі в громадській суспільно значущій діяльності;</w:t>
      </w:r>
    </w:p>
    <w:p w:rsidR="00E24304" w:rsidRDefault="00E24304" w:rsidP="00E24304">
      <w:pPr>
        <w:tabs>
          <w:tab w:val="left" w:pos="709"/>
          <w:tab w:val="left" w:pos="993"/>
        </w:tabs>
        <w:ind w:firstLine="567"/>
        <w:jc w:val="both"/>
        <w:rPr>
          <w:noProof/>
        </w:rPr>
      </w:pPr>
      <w:r>
        <w:rPr>
          <w:noProof/>
        </w:rPr>
        <w:t>–</w:t>
      </w:r>
      <w:r>
        <w:rPr>
          <w:noProof/>
        </w:rPr>
        <w:tab/>
        <w:t>підтримка та розвиток творчої, інтелектуально обдарованої молоді, забезпечення змістовного дозвілля молоді;</w:t>
      </w:r>
    </w:p>
    <w:p w:rsidR="00E24304" w:rsidRDefault="00E24304" w:rsidP="00E24304">
      <w:pPr>
        <w:tabs>
          <w:tab w:val="left" w:pos="709"/>
          <w:tab w:val="left" w:pos="993"/>
        </w:tabs>
        <w:ind w:firstLine="567"/>
        <w:jc w:val="both"/>
        <w:rPr>
          <w:noProof/>
        </w:rPr>
      </w:pPr>
      <w:r>
        <w:rPr>
          <w:noProof/>
        </w:rPr>
        <w:t>–</w:t>
      </w:r>
      <w:r>
        <w:rPr>
          <w:noProof/>
        </w:rPr>
        <w:tab/>
        <w:t xml:space="preserve">підвищення якості бібліотечно-інформаційного обслуговування користувачів, формування фондів бібліотек новими документами на різних носіях, створення максимально комфортних умов з метою ефективного обслуговування користувачів </w:t>
      </w:r>
      <w:r>
        <w:rPr>
          <w:noProof/>
        </w:rPr>
        <w:lastRenderedPageBreak/>
        <w:t>бібліотек, забезпечення умов для якісного обслуговування людей з обмеженими можливостями;</w:t>
      </w:r>
    </w:p>
    <w:p w:rsidR="00E24304" w:rsidRDefault="00E24304" w:rsidP="00E24304">
      <w:pPr>
        <w:tabs>
          <w:tab w:val="left" w:pos="709"/>
          <w:tab w:val="left" w:pos="993"/>
        </w:tabs>
        <w:ind w:firstLine="567"/>
        <w:jc w:val="both"/>
        <w:rPr>
          <w:noProof/>
        </w:rPr>
      </w:pPr>
      <w:r>
        <w:rPr>
          <w:noProof/>
        </w:rPr>
        <w:t>–</w:t>
      </w:r>
      <w:r>
        <w:rPr>
          <w:noProof/>
        </w:rPr>
        <w:tab/>
        <w:t>виявлення талановитих та обдарованих дітей, підтримка їх культурно-освітніх потреб, творчої ініціативи їх викладачів, створення умов для творчого, інтелектуального та духовного розвитку особистості.</w:t>
      </w:r>
    </w:p>
    <w:p w:rsidR="00E24304" w:rsidRDefault="00E24304" w:rsidP="00E24304">
      <w:pPr>
        <w:tabs>
          <w:tab w:val="left" w:pos="709"/>
          <w:tab w:val="left" w:pos="993"/>
        </w:tabs>
        <w:ind w:firstLine="567"/>
        <w:jc w:val="both"/>
        <w:rPr>
          <w:i/>
          <w:noProof/>
        </w:rPr>
      </w:pPr>
      <w:r>
        <w:rPr>
          <w:i/>
          <w:noProof/>
        </w:rPr>
        <w:t>Результати, яких планується досягти від реалізації заходів:</w:t>
      </w:r>
    </w:p>
    <w:p w:rsidR="00E24304" w:rsidRDefault="00E24304" w:rsidP="00E24304">
      <w:pPr>
        <w:tabs>
          <w:tab w:val="left" w:pos="709"/>
          <w:tab w:val="left" w:pos="993"/>
        </w:tabs>
        <w:ind w:firstLine="567"/>
        <w:jc w:val="both"/>
        <w:rPr>
          <w:noProof/>
        </w:rPr>
      </w:pPr>
      <w:r>
        <w:rPr>
          <w:noProof/>
        </w:rPr>
        <w:t>–</w:t>
      </w:r>
      <w:r>
        <w:rPr>
          <w:noProof/>
        </w:rPr>
        <w:tab/>
        <w:t xml:space="preserve">популяризація кращих досягнень, обмін досвідом, розвиток творчої  майстерності; </w:t>
      </w:r>
    </w:p>
    <w:p w:rsidR="00E24304" w:rsidRDefault="00E24304" w:rsidP="00E24304">
      <w:pPr>
        <w:tabs>
          <w:tab w:val="left" w:pos="709"/>
          <w:tab w:val="left" w:pos="993"/>
        </w:tabs>
        <w:ind w:firstLine="567"/>
        <w:jc w:val="both"/>
        <w:rPr>
          <w:noProof/>
        </w:rPr>
      </w:pPr>
      <w:r>
        <w:rPr>
          <w:noProof/>
        </w:rPr>
        <w:t>–</w:t>
      </w:r>
      <w:r>
        <w:rPr>
          <w:noProof/>
        </w:rPr>
        <w:tab/>
        <w:t>підвищення рівня виконавської майстерності, обмін досвідом, піднесення іміджу громади на регіональній, українській та світовій культурній ниві;</w:t>
      </w:r>
    </w:p>
    <w:p w:rsidR="00E24304" w:rsidRDefault="00E24304" w:rsidP="00E24304">
      <w:pPr>
        <w:tabs>
          <w:tab w:val="left" w:pos="709"/>
          <w:tab w:val="left" w:pos="993"/>
        </w:tabs>
        <w:ind w:firstLine="567"/>
        <w:jc w:val="both"/>
        <w:rPr>
          <w:noProof/>
        </w:rPr>
      </w:pPr>
      <w:r>
        <w:rPr>
          <w:noProof/>
        </w:rPr>
        <w:t>–</w:t>
      </w:r>
      <w:r>
        <w:rPr>
          <w:noProof/>
        </w:rPr>
        <w:tab/>
        <w:t>покращення якості бібліотечного обслуговування, охоплення ним понад 25 % відсотків населення громади різних вікових і соціальних груп;</w:t>
      </w:r>
    </w:p>
    <w:p w:rsidR="00E24304" w:rsidRDefault="00E24304" w:rsidP="00E24304">
      <w:pPr>
        <w:tabs>
          <w:tab w:val="left" w:pos="709"/>
          <w:tab w:val="left" w:pos="993"/>
        </w:tabs>
        <w:ind w:firstLine="567"/>
        <w:jc w:val="both"/>
        <w:rPr>
          <w:noProof/>
        </w:rPr>
      </w:pPr>
      <w:r>
        <w:rPr>
          <w:noProof/>
        </w:rPr>
        <w:t>–</w:t>
      </w:r>
      <w:r>
        <w:rPr>
          <w:noProof/>
        </w:rPr>
        <w:tab/>
        <w:t xml:space="preserve">підвищення ролі бібліотек в сучасному суспільстві; </w:t>
      </w:r>
    </w:p>
    <w:p w:rsidR="00E24304" w:rsidRDefault="00E24304" w:rsidP="00E24304">
      <w:pPr>
        <w:tabs>
          <w:tab w:val="left" w:pos="709"/>
          <w:tab w:val="left" w:pos="993"/>
        </w:tabs>
        <w:ind w:firstLine="567"/>
        <w:jc w:val="both"/>
        <w:rPr>
          <w:noProof/>
        </w:rPr>
      </w:pPr>
      <w:r>
        <w:rPr>
          <w:noProof/>
        </w:rPr>
        <w:t>–</w:t>
      </w:r>
      <w:r>
        <w:rPr>
          <w:noProof/>
        </w:rPr>
        <w:tab/>
        <w:t>збереження українських національних традицій, виховання патріотизму, організація змістовного дозвілля для підвищення культурного рівня та естетичних смаків населення ТГ, підтримка обдарованої молоді та урізноманітнення проведення культурно-масових заходів;</w:t>
      </w:r>
    </w:p>
    <w:p w:rsidR="00E24304" w:rsidRDefault="00E24304" w:rsidP="00E24304">
      <w:pPr>
        <w:tabs>
          <w:tab w:val="left" w:pos="709"/>
          <w:tab w:val="left" w:pos="993"/>
        </w:tabs>
        <w:ind w:firstLine="567"/>
        <w:jc w:val="both"/>
        <w:rPr>
          <w:noProof/>
        </w:rPr>
      </w:pPr>
      <w:r>
        <w:rPr>
          <w:noProof/>
        </w:rPr>
        <w:t>–</w:t>
      </w:r>
      <w:r>
        <w:rPr>
          <w:noProof/>
        </w:rPr>
        <w:tab/>
        <w:t>посилення ролі культури жителів ТГ, підвищення її значення у розвитку демократичного, громадського, духовного суспільства, забезпечення доступності послуг з початкової мистецької освіти, задоволення інтелектуальних та духовних потреб населення.</w:t>
      </w:r>
    </w:p>
    <w:p w:rsidR="00E24304" w:rsidRDefault="00E24304" w:rsidP="00E24304">
      <w:pPr>
        <w:tabs>
          <w:tab w:val="left" w:pos="709"/>
          <w:tab w:val="left" w:pos="993"/>
        </w:tabs>
        <w:ind w:firstLine="567"/>
        <w:jc w:val="both"/>
        <w:rPr>
          <w:noProof/>
        </w:rPr>
      </w:pPr>
      <w:r>
        <w:rPr>
          <w:noProof/>
        </w:rPr>
        <w:t>–</w:t>
      </w:r>
      <w:r>
        <w:rPr>
          <w:noProof/>
        </w:rPr>
        <w:tab/>
        <w:t>створення умов для творчого розвитку особистості, інтелектуального самовдосконалення та лідерських якостей молоді, залучення потенціалу територіальної громади до реалізації молодіжної політики, сприяння розвитку змістовного дозвілля молоді тощо.</w:t>
      </w:r>
    </w:p>
    <w:p w:rsidR="00E24304" w:rsidRDefault="00E24304" w:rsidP="00E24304">
      <w:pPr>
        <w:tabs>
          <w:tab w:val="left" w:pos="709"/>
          <w:tab w:val="left" w:pos="993"/>
        </w:tabs>
        <w:ind w:firstLine="567"/>
        <w:jc w:val="both"/>
        <w:rPr>
          <w:noProof/>
        </w:rPr>
      </w:pPr>
    </w:p>
    <w:p w:rsidR="00E24304" w:rsidRDefault="00E24304" w:rsidP="00E24304">
      <w:pPr>
        <w:ind w:firstLine="567"/>
        <w:jc w:val="center"/>
        <w:rPr>
          <w:noProof/>
        </w:rPr>
      </w:pPr>
      <w:r>
        <w:rPr>
          <w:b/>
          <w:noProof/>
        </w:rPr>
        <w:t>Фізична культура і спорт</w:t>
      </w:r>
    </w:p>
    <w:p w:rsidR="00E24304" w:rsidRDefault="00E24304" w:rsidP="00E24304">
      <w:pPr>
        <w:tabs>
          <w:tab w:val="left" w:pos="709"/>
          <w:tab w:val="left" w:pos="993"/>
        </w:tabs>
        <w:ind w:firstLine="567"/>
        <w:jc w:val="both"/>
        <w:rPr>
          <w:noProof/>
        </w:rPr>
      </w:pPr>
      <w:r>
        <w:rPr>
          <w:noProof/>
        </w:rPr>
        <w:t>Мережа закладів галузі «Фізична культура і спорт» налічує                                1 бюджетну установу:</w:t>
      </w:r>
    </w:p>
    <w:p w:rsidR="00E24304" w:rsidRDefault="00E24304" w:rsidP="00E24304">
      <w:pPr>
        <w:tabs>
          <w:tab w:val="left" w:pos="709"/>
          <w:tab w:val="left" w:pos="993"/>
        </w:tabs>
        <w:ind w:firstLine="567"/>
        <w:jc w:val="both"/>
        <w:rPr>
          <w:noProof/>
        </w:rPr>
      </w:pPr>
      <w:r>
        <w:rPr>
          <w:noProof/>
        </w:rPr>
        <w:t>-</w:t>
      </w:r>
      <w:r>
        <w:t xml:space="preserve"> </w:t>
      </w:r>
      <w:r>
        <w:rPr>
          <w:noProof/>
        </w:rPr>
        <w:t>Дитячо-юнацька спортивна школа Рахівської міської ради.</w:t>
      </w:r>
    </w:p>
    <w:p w:rsidR="00E24304" w:rsidRDefault="00E24304" w:rsidP="00E24304">
      <w:pPr>
        <w:tabs>
          <w:tab w:val="left" w:pos="709"/>
          <w:tab w:val="left" w:pos="993"/>
        </w:tabs>
        <w:ind w:firstLine="567"/>
        <w:jc w:val="both"/>
        <w:rPr>
          <w:noProof/>
        </w:rPr>
      </w:pPr>
      <w:r>
        <w:rPr>
          <w:i/>
          <w:noProof/>
        </w:rPr>
        <w:t>Метою діяльності</w:t>
      </w:r>
      <w:r>
        <w:rPr>
          <w:noProof/>
        </w:rPr>
        <w:t xml:space="preserve"> галузі «Фізична культура і спорт» є створення умов для залучення широких верств населення до масового спорту, популяризації здорового способу життя, максимальної реалізації здібностей обдарованої молоді у дитячо-юнацькому, резервному спорті та спорті вищих досягнень.</w:t>
      </w:r>
    </w:p>
    <w:p w:rsidR="00E24304" w:rsidRDefault="00E24304" w:rsidP="00E24304">
      <w:pPr>
        <w:tabs>
          <w:tab w:val="left" w:pos="709"/>
          <w:tab w:val="left" w:pos="993"/>
        </w:tabs>
        <w:ind w:firstLine="567"/>
        <w:jc w:val="both"/>
        <w:rPr>
          <w:i/>
          <w:noProof/>
        </w:rPr>
      </w:pPr>
      <w:r>
        <w:rPr>
          <w:i/>
          <w:noProof/>
        </w:rPr>
        <w:t>Пріоритетами розвитку галузі є:</w:t>
      </w:r>
    </w:p>
    <w:p w:rsidR="00E24304" w:rsidRDefault="00E24304" w:rsidP="00E24304">
      <w:pPr>
        <w:tabs>
          <w:tab w:val="left" w:pos="709"/>
          <w:tab w:val="left" w:pos="993"/>
        </w:tabs>
        <w:ind w:firstLine="567"/>
        <w:jc w:val="both"/>
        <w:rPr>
          <w:noProof/>
        </w:rPr>
      </w:pPr>
      <w:r>
        <w:rPr>
          <w:noProof/>
        </w:rPr>
        <w:t>–</w:t>
      </w:r>
      <w:r>
        <w:rPr>
          <w:noProof/>
        </w:rPr>
        <w:tab/>
        <w:t>формування у населення традицій щодо занять фізичною культурою і спортом, як важливих складових забезпечення здорового способу життя;</w:t>
      </w:r>
    </w:p>
    <w:p w:rsidR="00E24304" w:rsidRDefault="00E24304" w:rsidP="00E24304">
      <w:pPr>
        <w:tabs>
          <w:tab w:val="left" w:pos="709"/>
          <w:tab w:val="left" w:pos="993"/>
        </w:tabs>
        <w:ind w:firstLine="567"/>
        <w:jc w:val="both"/>
        <w:rPr>
          <w:noProof/>
        </w:rPr>
      </w:pPr>
      <w:r>
        <w:rPr>
          <w:noProof/>
        </w:rPr>
        <w:t>–</w:t>
      </w:r>
      <w:r>
        <w:rPr>
          <w:noProof/>
        </w:rPr>
        <w:tab/>
        <w:t xml:space="preserve">удосконалення системи дитячо-юнацького спорту, створення умов для розвитку індивідуальних здібностей спортсменів на етапах багаторічної підготовки; </w:t>
      </w:r>
    </w:p>
    <w:p w:rsidR="00E24304" w:rsidRDefault="00E24304" w:rsidP="00E24304">
      <w:pPr>
        <w:tabs>
          <w:tab w:val="left" w:pos="709"/>
          <w:tab w:val="left" w:pos="993"/>
        </w:tabs>
        <w:ind w:firstLine="567"/>
        <w:jc w:val="both"/>
        <w:rPr>
          <w:noProof/>
        </w:rPr>
      </w:pPr>
      <w:r>
        <w:rPr>
          <w:noProof/>
        </w:rPr>
        <w:t>–</w:t>
      </w:r>
      <w:r>
        <w:rPr>
          <w:noProof/>
        </w:rPr>
        <w:tab/>
        <w:t>забезпечення охоплення школярів заняттями в спортивній школі та секціях;</w:t>
      </w:r>
    </w:p>
    <w:p w:rsidR="00E24304" w:rsidRDefault="00E24304" w:rsidP="00E24304">
      <w:pPr>
        <w:tabs>
          <w:tab w:val="left" w:pos="709"/>
          <w:tab w:val="left" w:pos="993"/>
        </w:tabs>
        <w:ind w:firstLine="567"/>
        <w:jc w:val="both"/>
        <w:rPr>
          <w:noProof/>
        </w:rPr>
      </w:pPr>
      <w:r>
        <w:rPr>
          <w:noProof/>
        </w:rPr>
        <w:t>–</w:t>
      </w:r>
      <w:r>
        <w:rPr>
          <w:noProof/>
        </w:rPr>
        <w:tab/>
        <w:t xml:space="preserve">підтримка та розвиток олімпійських та неолімпійських видів спорту. </w:t>
      </w:r>
    </w:p>
    <w:p w:rsidR="00E24304" w:rsidRDefault="00E24304" w:rsidP="00E24304">
      <w:pPr>
        <w:tabs>
          <w:tab w:val="left" w:pos="709"/>
          <w:tab w:val="left" w:pos="993"/>
        </w:tabs>
        <w:ind w:firstLine="567"/>
        <w:jc w:val="both"/>
        <w:rPr>
          <w:i/>
          <w:noProof/>
        </w:rPr>
      </w:pPr>
      <w:r>
        <w:rPr>
          <w:i/>
          <w:noProof/>
        </w:rPr>
        <w:t>Основні заходи для досягнення визначених завдань:</w:t>
      </w:r>
    </w:p>
    <w:p w:rsidR="00E24304" w:rsidRDefault="00E24304" w:rsidP="00E24304">
      <w:pPr>
        <w:tabs>
          <w:tab w:val="left" w:pos="709"/>
          <w:tab w:val="left" w:pos="993"/>
        </w:tabs>
        <w:ind w:firstLine="567"/>
        <w:jc w:val="both"/>
        <w:rPr>
          <w:noProof/>
        </w:rPr>
      </w:pPr>
      <w:r>
        <w:rPr>
          <w:noProof/>
        </w:rPr>
        <w:t>–</w:t>
      </w:r>
      <w:r>
        <w:rPr>
          <w:noProof/>
        </w:rPr>
        <w:tab/>
        <w:t>збереження та розвиток мережі фізкультурно-спортивних установ;</w:t>
      </w:r>
    </w:p>
    <w:p w:rsidR="00E24304" w:rsidRDefault="00E24304" w:rsidP="00E24304">
      <w:pPr>
        <w:tabs>
          <w:tab w:val="left" w:pos="709"/>
          <w:tab w:val="left" w:pos="993"/>
        </w:tabs>
        <w:ind w:firstLine="567"/>
        <w:jc w:val="both"/>
        <w:rPr>
          <w:noProof/>
        </w:rPr>
      </w:pPr>
      <w:r>
        <w:rPr>
          <w:noProof/>
        </w:rPr>
        <w:t>–</w:t>
      </w:r>
      <w:r>
        <w:rPr>
          <w:noProof/>
        </w:rPr>
        <w:tab/>
        <w:t xml:space="preserve">проведення навчально-тренувальних зборів та змагань для вихованців ДЮСШ; </w:t>
      </w:r>
    </w:p>
    <w:p w:rsidR="00E24304" w:rsidRDefault="00E24304" w:rsidP="00E24304">
      <w:pPr>
        <w:tabs>
          <w:tab w:val="left" w:pos="709"/>
          <w:tab w:val="left" w:pos="993"/>
        </w:tabs>
        <w:ind w:firstLine="567"/>
        <w:jc w:val="both"/>
        <w:rPr>
          <w:noProof/>
        </w:rPr>
      </w:pPr>
      <w:r>
        <w:rPr>
          <w:noProof/>
        </w:rPr>
        <w:t>–</w:t>
      </w:r>
      <w:r>
        <w:rPr>
          <w:noProof/>
        </w:rPr>
        <w:tab/>
        <w:t>організація фізкультурно-спортивних заходів з олімпійських та неолімпійських видів спорту з метою пропаганди здорового способу життя;</w:t>
      </w:r>
    </w:p>
    <w:p w:rsidR="00E24304" w:rsidRDefault="00E24304" w:rsidP="00E24304">
      <w:pPr>
        <w:tabs>
          <w:tab w:val="left" w:pos="709"/>
          <w:tab w:val="left" w:pos="993"/>
        </w:tabs>
        <w:ind w:firstLine="567"/>
        <w:jc w:val="both"/>
        <w:rPr>
          <w:noProof/>
        </w:rPr>
      </w:pPr>
      <w:r>
        <w:rPr>
          <w:noProof/>
        </w:rPr>
        <w:t>–</w:t>
      </w:r>
      <w:r>
        <w:rPr>
          <w:noProof/>
        </w:rPr>
        <w:tab/>
        <w:t>організація та проведення фізкультурно-оздоровчих та спортивно-масових заходів;</w:t>
      </w:r>
    </w:p>
    <w:p w:rsidR="00E24304" w:rsidRDefault="00E24304" w:rsidP="00E24304">
      <w:pPr>
        <w:tabs>
          <w:tab w:val="left" w:pos="709"/>
          <w:tab w:val="left" w:pos="993"/>
        </w:tabs>
        <w:ind w:firstLine="567"/>
        <w:jc w:val="both"/>
        <w:rPr>
          <w:noProof/>
        </w:rPr>
      </w:pPr>
      <w:r>
        <w:rPr>
          <w:noProof/>
        </w:rPr>
        <w:t>–</w:t>
      </w:r>
      <w:r>
        <w:rPr>
          <w:noProof/>
        </w:rPr>
        <w:tab/>
        <w:t>забезпечення участі провідних спортсменів громади у змаганнях різних рівнів з олімпійських та неолімпійських видів спорту;</w:t>
      </w:r>
    </w:p>
    <w:p w:rsidR="00E24304" w:rsidRDefault="00E24304" w:rsidP="00E24304">
      <w:pPr>
        <w:tabs>
          <w:tab w:val="left" w:pos="709"/>
          <w:tab w:val="left" w:pos="993"/>
        </w:tabs>
        <w:ind w:firstLine="567"/>
        <w:jc w:val="both"/>
        <w:rPr>
          <w:i/>
          <w:noProof/>
        </w:rPr>
      </w:pPr>
      <w:r>
        <w:rPr>
          <w:i/>
          <w:noProof/>
        </w:rPr>
        <w:t>Результати, яких планується досягти від реалізації заходів:</w:t>
      </w:r>
    </w:p>
    <w:p w:rsidR="00E24304" w:rsidRDefault="00E24304" w:rsidP="00E24304">
      <w:pPr>
        <w:tabs>
          <w:tab w:val="left" w:pos="709"/>
          <w:tab w:val="left" w:pos="993"/>
        </w:tabs>
        <w:ind w:firstLine="567"/>
        <w:jc w:val="both"/>
        <w:rPr>
          <w:noProof/>
        </w:rPr>
      </w:pPr>
      <w:r>
        <w:rPr>
          <w:noProof/>
        </w:rPr>
        <w:t>–</w:t>
      </w:r>
      <w:r>
        <w:rPr>
          <w:noProof/>
        </w:rPr>
        <w:tab/>
        <w:t>збільшення кількості населення, яке займається фізичною культурою і спортом під час проведення загальних спортивно-оздоровчих заходів;</w:t>
      </w:r>
    </w:p>
    <w:p w:rsidR="00E24304" w:rsidRDefault="00E24304" w:rsidP="00E24304">
      <w:pPr>
        <w:tabs>
          <w:tab w:val="left" w:pos="709"/>
          <w:tab w:val="left" w:pos="993"/>
        </w:tabs>
        <w:ind w:firstLine="567"/>
        <w:jc w:val="both"/>
        <w:rPr>
          <w:noProof/>
        </w:rPr>
      </w:pPr>
      <w:r>
        <w:rPr>
          <w:noProof/>
        </w:rPr>
        <w:lastRenderedPageBreak/>
        <w:t>–</w:t>
      </w:r>
      <w:r>
        <w:rPr>
          <w:noProof/>
        </w:rPr>
        <w:tab/>
        <w:t>залучення до 20 % дітей та молоді віком від 6 до 23 років до занять у дитячо-юнацькій спортивній школі;</w:t>
      </w:r>
    </w:p>
    <w:p w:rsidR="00E24304" w:rsidRDefault="00E24304" w:rsidP="00E24304">
      <w:pPr>
        <w:tabs>
          <w:tab w:val="left" w:pos="709"/>
          <w:tab w:val="left" w:pos="993"/>
        </w:tabs>
        <w:ind w:firstLine="567"/>
        <w:jc w:val="both"/>
        <w:rPr>
          <w:noProof/>
        </w:rPr>
      </w:pPr>
      <w:r>
        <w:rPr>
          <w:noProof/>
        </w:rPr>
        <w:t>–</w:t>
      </w:r>
      <w:r>
        <w:rPr>
          <w:noProof/>
        </w:rPr>
        <w:tab/>
        <w:t>розвиток та популяризація нових олімпійських та неолімпійських видів спорту, загальне збільшення кількості молодих людей, які систематично займаються спортом;</w:t>
      </w:r>
    </w:p>
    <w:p w:rsidR="00E24304" w:rsidRDefault="00E24304" w:rsidP="00E24304">
      <w:pPr>
        <w:tabs>
          <w:tab w:val="left" w:pos="709"/>
          <w:tab w:val="left" w:pos="993"/>
        </w:tabs>
        <w:ind w:firstLine="567"/>
        <w:jc w:val="both"/>
        <w:rPr>
          <w:noProof/>
        </w:rPr>
      </w:pPr>
      <w:r>
        <w:rPr>
          <w:noProof/>
        </w:rPr>
        <w:t>–</w:t>
      </w:r>
      <w:r>
        <w:rPr>
          <w:noProof/>
        </w:rPr>
        <w:tab/>
        <w:t>збільшення відсотка дітей, які систематично займаються спортом, від загальної кількості мешканців територіальної громади, покращення рівня пропаганди здорового способу життя, покращення спортивних результатів сумчан на міжнародних та всеукраїнських змаганнях;</w:t>
      </w:r>
    </w:p>
    <w:p w:rsidR="00E24304" w:rsidRDefault="00E24304" w:rsidP="00E24304">
      <w:pPr>
        <w:tabs>
          <w:tab w:val="left" w:pos="709"/>
          <w:tab w:val="left" w:pos="993"/>
        </w:tabs>
        <w:ind w:firstLine="567"/>
        <w:jc w:val="both"/>
        <w:rPr>
          <w:noProof/>
        </w:rPr>
      </w:pPr>
      <w:r>
        <w:rPr>
          <w:noProof/>
        </w:rPr>
        <w:t>–</w:t>
      </w:r>
      <w:r>
        <w:rPr>
          <w:noProof/>
        </w:rPr>
        <w:tab/>
        <w:t xml:space="preserve"> забезпечення належної підготовки та успішної участі спортсменів у змаганнях різних рівнів для збереження передових позиції та підвищення авторитету громади у всеукраїнському та світовому спортивному співтоваристві.</w:t>
      </w:r>
    </w:p>
    <w:p w:rsidR="00E24304" w:rsidRDefault="00E24304" w:rsidP="00E24304">
      <w:pPr>
        <w:tabs>
          <w:tab w:val="left" w:pos="709"/>
          <w:tab w:val="left" w:pos="993"/>
        </w:tabs>
        <w:ind w:firstLine="567"/>
        <w:jc w:val="both"/>
        <w:rPr>
          <w:noProof/>
        </w:rPr>
      </w:pPr>
    </w:p>
    <w:p w:rsidR="00E24304" w:rsidRDefault="00E24304" w:rsidP="00E24304">
      <w:pPr>
        <w:tabs>
          <w:tab w:val="left" w:pos="709"/>
          <w:tab w:val="left" w:pos="993"/>
        </w:tabs>
        <w:ind w:firstLine="567"/>
        <w:jc w:val="center"/>
        <w:rPr>
          <w:b/>
          <w:noProof/>
        </w:rPr>
      </w:pPr>
      <w:r>
        <w:rPr>
          <w:b/>
          <w:noProof/>
        </w:rPr>
        <w:t>Житлово-комунальне господарство</w:t>
      </w:r>
    </w:p>
    <w:p w:rsidR="00E24304" w:rsidRDefault="00E24304" w:rsidP="00E24304">
      <w:pPr>
        <w:widowControl w:val="0"/>
        <w:ind w:firstLine="425"/>
        <w:jc w:val="both"/>
        <w:rPr>
          <w:rFonts w:eastAsia="Calibri"/>
          <w:b/>
          <w:i/>
          <w:lang w:eastAsia="zh-CN"/>
        </w:rPr>
      </w:pPr>
      <w:r>
        <w:rPr>
          <w:rFonts w:eastAsia="Calibri"/>
          <w:lang w:eastAsia="zh-CN"/>
        </w:rPr>
        <w:t xml:space="preserve">Житлово-комунальне господарство – одна з найважливіших галузей господарського комплексу громади, що забезпечує її життєдіяльність, створює зручні, здорові й культурні умови життя населення громади через утримання вулично-дорожньої мережі (у тому числі в зимовий період), </w:t>
      </w:r>
      <w:r>
        <w:rPr>
          <w:shd w:val="clear" w:color="auto" w:fill="FFFFFF"/>
          <w:lang w:eastAsia="zh-CN"/>
        </w:rPr>
        <w:t>утримання в належному санітарному стані території громади (вивіз сміття, збирання та перевезення ТПВ, придбання та заміна сміттєвих контейнерів),забезпечення функціонування системи вуличного освітлення (утримання мереж зовнішнього вуличного освітлення загальною протяжністю близько 77,53 км), організацію благоустрою населених пунктів, утримання та поводження з безпритульними тваринами на території громади.</w:t>
      </w:r>
    </w:p>
    <w:p w:rsidR="00E24304" w:rsidRDefault="00E24304" w:rsidP="00E24304">
      <w:pPr>
        <w:widowControl w:val="0"/>
        <w:ind w:firstLine="567"/>
        <w:jc w:val="both"/>
        <w:rPr>
          <w:lang w:eastAsia="ru-RU"/>
        </w:rPr>
      </w:pPr>
      <w:r>
        <w:t>На території громади житлово-комунальні послуги надаються:</w:t>
      </w:r>
    </w:p>
    <w:p w:rsidR="00E24304" w:rsidRDefault="00E24304" w:rsidP="00E24304">
      <w:pPr>
        <w:widowControl w:val="0"/>
        <w:numPr>
          <w:ilvl w:val="0"/>
          <w:numId w:val="1"/>
        </w:numPr>
        <w:ind w:left="0" w:firstLine="567"/>
        <w:jc w:val="both"/>
      </w:pPr>
      <w:r>
        <w:t>комунальним підприємством «</w:t>
      </w:r>
      <w:proofErr w:type="spellStart"/>
      <w:r>
        <w:t>Рахівтепло</w:t>
      </w:r>
      <w:proofErr w:type="spellEnd"/>
      <w:r>
        <w:t xml:space="preserve">» (водопостачання, водовідведення, вуличне освітлення) </w:t>
      </w:r>
    </w:p>
    <w:p w:rsidR="00E24304" w:rsidRDefault="00E24304" w:rsidP="00E24304">
      <w:pPr>
        <w:widowControl w:val="0"/>
        <w:numPr>
          <w:ilvl w:val="0"/>
          <w:numId w:val="1"/>
        </w:numPr>
        <w:ind w:left="0" w:firstLine="567"/>
        <w:jc w:val="both"/>
      </w:pPr>
      <w:r>
        <w:t>міським комунальним підприємством «</w:t>
      </w:r>
      <w:proofErr w:type="spellStart"/>
      <w:r>
        <w:t>Рахівкомунсервіс</w:t>
      </w:r>
      <w:proofErr w:type="spellEnd"/>
      <w:r>
        <w:t>» (благоустрій, вивіз ТПВ)</w:t>
      </w:r>
    </w:p>
    <w:p w:rsidR="00E24304" w:rsidRDefault="00E24304" w:rsidP="00E24304">
      <w:pPr>
        <w:widowControl w:val="0"/>
        <w:ind w:firstLine="567"/>
        <w:jc w:val="both"/>
      </w:pPr>
      <w:r>
        <w:t xml:space="preserve">Видатки здійснюватимуться з бюджету Рахівської міської територіальної громади на виконання: </w:t>
      </w:r>
    </w:p>
    <w:p w:rsidR="00E24304" w:rsidRDefault="00E24304" w:rsidP="00E24304">
      <w:pPr>
        <w:widowControl w:val="0"/>
        <w:ind w:firstLine="567"/>
        <w:jc w:val="both"/>
      </w:pPr>
      <w:r>
        <w:t xml:space="preserve">- програми реформування, розвитку та підтримки Рахівського комунального підприємства </w:t>
      </w:r>
      <w:proofErr w:type="spellStart"/>
      <w:r>
        <w:t>''Рахівтепло''</w:t>
      </w:r>
      <w:proofErr w:type="spellEnd"/>
      <w:r>
        <w:t xml:space="preserve"> на 2025-2026 роки;</w:t>
      </w:r>
    </w:p>
    <w:p w:rsidR="00E24304" w:rsidRDefault="00E24304" w:rsidP="00E24304">
      <w:pPr>
        <w:widowControl w:val="0"/>
        <w:ind w:firstLine="567"/>
        <w:jc w:val="both"/>
      </w:pPr>
      <w:r>
        <w:t xml:space="preserve">- програма реформування, розвитку та підтримки Рахівського міського комунального підприємства </w:t>
      </w:r>
      <w:proofErr w:type="spellStart"/>
      <w:r>
        <w:t>''Рахівкомунсервіс''</w:t>
      </w:r>
      <w:proofErr w:type="spellEnd"/>
      <w:r>
        <w:t xml:space="preserve"> на 2025-2026 роки;</w:t>
      </w:r>
    </w:p>
    <w:p w:rsidR="00E24304" w:rsidRDefault="00E24304" w:rsidP="00E24304">
      <w:pPr>
        <w:widowControl w:val="0"/>
        <w:ind w:firstLine="567"/>
        <w:jc w:val="both"/>
        <w:rPr>
          <w:noProof/>
        </w:rPr>
      </w:pPr>
      <w:r>
        <w:t xml:space="preserve">- програма відшкодування різниці в тарифі між затвердженими та фактичною сплатою населення та вивезення твердих побутових відходів в селах Ділове, </w:t>
      </w:r>
      <w:proofErr w:type="spellStart"/>
      <w:r>
        <w:t>Костилівка</w:t>
      </w:r>
      <w:proofErr w:type="spellEnd"/>
      <w:r>
        <w:t xml:space="preserve"> та Білин Рахівської територіальної громади на 2025 рік.</w:t>
      </w:r>
    </w:p>
    <w:p w:rsidR="00E24304" w:rsidRDefault="00E24304" w:rsidP="00E24304">
      <w:pPr>
        <w:tabs>
          <w:tab w:val="left" w:pos="709"/>
          <w:tab w:val="left" w:pos="993"/>
        </w:tabs>
        <w:ind w:firstLine="567"/>
        <w:jc w:val="both"/>
        <w:rPr>
          <w:i/>
          <w:noProof/>
        </w:rPr>
      </w:pPr>
      <w:r>
        <w:rPr>
          <w:i/>
          <w:noProof/>
        </w:rPr>
        <w:t>Пріоритетами розвитку галузі є:</w:t>
      </w:r>
    </w:p>
    <w:p w:rsidR="00E24304" w:rsidRDefault="00E24304" w:rsidP="00E24304">
      <w:pPr>
        <w:tabs>
          <w:tab w:val="left" w:pos="709"/>
          <w:tab w:val="left" w:pos="993"/>
        </w:tabs>
        <w:ind w:firstLine="567"/>
        <w:jc w:val="both"/>
        <w:rPr>
          <w:noProof/>
        </w:rPr>
      </w:pPr>
      <w:r>
        <w:rPr>
          <w:noProof/>
        </w:rPr>
        <w:t>–</w:t>
      </w:r>
      <w:r>
        <w:rPr>
          <w:noProof/>
        </w:rPr>
        <w:tab/>
        <w:t>здійснення заходів щодо підвищення ефективності та надійного функціонування житлово-комунального господарства;</w:t>
      </w:r>
    </w:p>
    <w:p w:rsidR="00E24304" w:rsidRDefault="00E24304" w:rsidP="00E24304">
      <w:pPr>
        <w:tabs>
          <w:tab w:val="left" w:pos="709"/>
          <w:tab w:val="left" w:pos="993"/>
        </w:tabs>
        <w:ind w:firstLine="567"/>
        <w:jc w:val="both"/>
        <w:rPr>
          <w:noProof/>
        </w:rPr>
      </w:pPr>
      <w:r>
        <w:rPr>
          <w:noProof/>
        </w:rPr>
        <w:t>–</w:t>
      </w:r>
      <w:r>
        <w:rPr>
          <w:noProof/>
        </w:rPr>
        <w:tab/>
        <w:t>забезпечення сталого розвитку для задоволення потреб населення громади в житлово-комунальних послугах відповідно до встановлених нормативів та стандартів;</w:t>
      </w:r>
    </w:p>
    <w:p w:rsidR="00E24304" w:rsidRDefault="00E24304" w:rsidP="00E24304">
      <w:pPr>
        <w:tabs>
          <w:tab w:val="left" w:pos="709"/>
          <w:tab w:val="left" w:pos="993"/>
        </w:tabs>
        <w:ind w:firstLine="567"/>
        <w:jc w:val="both"/>
        <w:rPr>
          <w:noProof/>
        </w:rPr>
      </w:pPr>
      <w:r>
        <w:rPr>
          <w:noProof/>
        </w:rPr>
        <w:t>–</w:t>
      </w:r>
      <w:r>
        <w:rPr>
          <w:noProof/>
        </w:rPr>
        <w:tab/>
        <w:t>підтримка розвитку різних форм самоорганізації населення.</w:t>
      </w:r>
    </w:p>
    <w:p w:rsidR="00E24304" w:rsidRDefault="00E24304" w:rsidP="00E24304">
      <w:pPr>
        <w:tabs>
          <w:tab w:val="left" w:pos="709"/>
          <w:tab w:val="left" w:pos="993"/>
        </w:tabs>
        <w:ind w:firstLine="567"/>
        <w:jc w:val="both"/>
        <w:rPr>
          <w:i/>
          <w:noProof/>
        </w:rPr>
      </w:pPr>
      <w:r>
        <w:rPr>
          <w:i/>
          <w:noProof/>
        </w:rPr>
        <w:t>Основні заходи для досягнення визначених завдань:</w:t>
      </w:r>
    </w:p>
    <w:p w:rsidR="00E24304" w:rsidRDefault="00E24304" w:rsidP="00E24304">
      <w:pPr>
        <w:tabs>
          <w:tab w:val="left" w:pos="709"/>
          <w:tab w:val="left" w:pos="993"/>
        </w:tabs>
        <w:ind w:firstLine="567"/>
        <w:jc w:val="both"/>
        <w:rPr>
          <w:noProof/>
        </w:rPr>
      </w:pPr>
      <w:r>
        <w:rPr>
          <w:noProof/>
        </w:rPr>
        <w:t>–</w:t>
      </w:r>
      <w:r>
        <w:rPr>
          <w:noProof/>
        </w:rPr>
        <w:tab/>
        <w:t>забезпечення стабільної роботи, належного рівня та якості послуг в житлово-комунальному господарстві;</w:t>
      </w:r>
    </w:p>
    <w:p w:rsidR="00E24304" w:rsidRDefault="00E24304" w:rsidP="00E24304">
      <w:pPr>
        <w:tabs>
          <w:tab w:val="left" w:pos="709"/>
          <w:tab w:val="left" w:pos="993"/>
        </w:tabs>
        <w:ind w:firstLine="567"/>
        <w:jc w:val="both"/>
        <w:rPr>
          <w:noProof/>
        </w:rPr>
      </w:pPr>
      <w:r>
        <w:rPr>
          <w:noProof/>
        </w:rPr>
        <w:t>–</w:t>
      </w:r>
      <w:r>
        <w:rPr>
          <w:noProof/>
        </w:rPr>
        <w:tab/>
        <w:t>поліпшення стану вулично-дорожньої мережі, системи вуличного освітлення, зеленого господарства та інших об’єктів благоустрою;</w:t>
      </w:r>
    </w:p>
    <w:p w:rsidR="00E24304" w:rsidRDefault="00E24304" w:rsidP="00E24304">
      <w:pPr>
        <w:tabs>
          <w:tab w:val="left" w:pos="709"/>
          <w:tab w:val="left" w:pos="993"/>
        </w:tabs>
        <w:ind w:firstLine="567"/>
        <w:jc w:val="both"/>
        <w:rPr>
          <w:noProof/>
        </w:rPr>
      </w:pPr>
      <w:r>
        <w:rPr>
          <w:noProof/>
        </w:rPr>
        <w:t>–</w:t>
      </w:r>
      <w:r>
        <w:rPr>
          <w:noProof/>
        </w:rPr>
        <w:tab/>
        <w:t>вдосконалення існуючої системи збору ТПВ.</w:t>
      </w:r>
    </w:p>
    <w:p w:rsidR="00E24304" w:rsidRDefault="00E24304" w:rsidP="00E24304">
      <w:pPr>
        <w:tabs>
          <w:tab w:val="left" w:pos="709"/>
          <w:tab w:val="left" w:pos="993"/>
        </w:tabs>
        <w:ind w:firstLine="567"/>
        <w:jc w:val="both"/>
        <w:rPr>
          <w:i/>
          <w:noProof/>
        </w:rPr>
      </w:pPr>
      <w:r>
        <w:rPr>
          <w:i/>
          <w:noProof/>
        </w:rPr>
        <w:t>Результати, яких планується досягти від реалізації заходів:</w:t>
      </w:r>
    </w:p>
    <w:p w:rsidR="00E24304" w:rsidRDefault="00E24304" w:rsidP="00E24304">
      <w:pPr>
        <w:tabs>
          <w:tab w:val="left" w:pos="709"/>
          <w:tab w:val="left" w:pos="993"/>
        </w:tabs>
        <w:ind w:firstLine="567"/>
        <w:jc w:val="both"/>
        <w:rPr>
          <w:noProof/>
        </w:rPr>
      </w:pPr>
      <w:r>
        <w:rPr>
          <w:noProof/>
        </w:rPr>
        <w:t>–</w:t>
      </w:r>
      <w:r>
        <w:rPr>
          <w:noProof/>
        </w:rPr>
        <w:tab/>
        <w:t>створення конкурентного середовища у житлово-комунальній сфері;</w:t>
      </w:r>
    </w:p>
    <w:p w:rsidR="00E24304" w:rsidRDefault="00E24304" w:rsidP="00E24304">
      <w:pPr>
        <w:tabs>
          <w:tab w:val="left" w:pos="709"/>
          <w:tab w:val="left" w:pos="993"/>
        </w:tabs>
        <w:ind w:firstLine="567"/>
        <w:jc w:val="both"/>
        <w:rPr>
          <w:noProof/>
        </w:rPr>
      </w:pPr>
      <w:r>
        <w:rPr>
          <w:noProof/>
        </w:rPr>
        <w:t>–</w:t>
      </w:r>
      <w:r>
        <w:rPr>
          <w:noProof/>
        </w:rPr>
        <w:tab/>
        <w:t>надання населенню житлово-комунальних послуг належної якості відповідно до вимог, визначених на законодавчому рівні;</w:t>
      </w:r>
    </w:p>
    <w:p w:rsidR="00E24304" w:rsidRDefault="00E24304" w:rsidP="00E24304">
      <w:pPr>
        <w:tabs>
          <w:tab w:val="left" w:pos="709"/>
          <w:tab w:val="left" w:pos="993"/>
        </w:tabs>
        <w:ind w:firstLine="567"/>
        <w:jc w:val="both"/>
        <w:rPr>
          <w:noProof/>
        </w:rPr>
      </w:pPr>
      <w:r>
        <w:rPr>
          <w:noProof/>
        </w:rPr>
        <w:lastRenderedPageBreak/>
        <w:t>–</w:t>
      </w:r>
      <w:r>
        <w:rPr>
          <w:noProof/>
        </w:rPr>
        <w:tab/>
        <w:t>забезпечення якісного освітлення вулиць, прибудинкових територій житлових будинків та надійності функціонування мереж зовнішнього освітлення;</w:t>
      </w:r>
    </w:p>
    <w:p w:rsidR="00E24304" w:rsidRDefault="00E24304" w:rsidP="00E24304">
      <w:pPr>
        <w:tabs>
          <w:tab w:val="left" w:pos="709"/>
          <w:tab w:val="left" w:pos="993"/>
        </w:tabs>
        <w:ind w:firstLine="567"/>
        <w:jc w:val="both"/>
        <w:rPr>
          <w:noProof/>
        </w:rPr>
      </w:pPr>
      <w:r>
        <w:rPr>
          <w:noProof/>
        </w:rPr>
        <w:t>–</w:t>
      </w:r>
      <w:r>
        <w:rPr>
          <w:noProof/>
        </w:rPr>
        <w:tab/>
        <w:t>покращення стану безпеки руху транспорту і пішоходів та комфортного пересування дорогами і тротуарами.</w:t>
      </w:r>
    </w:p>
    <w:p w:rsidR="00E24304" w:rsidRDefault="00E24304" w:rsidP="00E24304">
      <w:pPr>
        <w:tabs>
          <w:tab w:val="left" w:pos="709"/>
          <w:tab w:val="left" w:pos="993"/>
        </w:tabs>
        <w:ind w:firstLine="567"/>
        <w:jc w:val="both"/>
        <w:rPr>
          <w:noProof/>
        </w:rPr>
      </w:pPr>
      <w:r>
        <w:rPr>
          <w:noProof/>
        </w:rPr>
        <w:t>Гендерна політики в Рахівській міській територіальній громаді  будується на основі міжнародних нормативно-правових актів, ратифікованих Україною та  регулюється національними нормативно-правовими актами щодо рівноправності між жінками і чоловіками.</w:t>
      </w:r>
    </w:p>
    <w:p w:rsidR="00E24304" w:rsidRDefault="00E24304" w:rsidP="00E24304">
      <w:pPr>
        <w:tabs>
          <w:tab w:val="left" w:pos="709"/>
          <w:tab w:val="left" w:pos="993"/>
        </w:tabs>
        <w:ind w:firstLine="567"/>
        <w:jc w:val="both"/>
        <w:rPr>
          <w:noProof/>
          <w:color w:val="FF0000"/>
        </w:rPr>
      </w:pPr>
    </w:p>
    <w:p w:rsidR="00E24304" w:rsidRDefault="00E24304" w:rsidP="00E24304">
      <w:pPr>
        <w:tabs>
          <w:tab w:val="left" w:pos="709"/>
          <w:tab w:val="left" w:pos="1134"/>
        </w:tabs>
        <w:ind w:firstLine="567"/>
        <w:jc w:val="center"/>
        <w:rPr>
          <w:noProof/>
        </w:rPr>
      </w:pPr>
      <w:r>
        <w:rPr>
          <w:b/>
          <w:noProof/>
        </w:rPr>
        <w:t>VIІ. Взаємовідносини бюджету з іншими бюджетами</w:t>
      </w:r>
    </w:p>
    <w:p w:rsidR="00E24304" w:rsidRDefault="00E24304" w:rsidP="00E24304">
      <w:pPr>
        <w:tabs>
          <w:tab w:val="left" w:pos="709"/>
          <w:tab w:val="left" w:pos="993"/>
          <w:tab w:val="left" w:pos="1134"/>
        </w:tabs>
        <w:ind w:firstLine="567"/>
        <w:jc w:val="both"/>
        <w:rPr>
          <w:noProof/>
        </w:rPr>
      </w:pPr>
      <w:r>
        <w:rPr>
          <w:noProof/>
        </w:rPr>
        <w:t>Прогноз включає показники міжбюджетних трансфертів бюджету Рахівської міської територіальної громади з державним бюджетом та місцевими бюджетами інших рівнів.</w:t>
      </w:r>
    </w:p>
    <w:p w:rsidR="00E24304" w:rsidRDefault="00E24304" w:rsidP="00E24304">
      <w:pPr>
        <w:tabs>
          <w:tab w:val="left" w:pos="709"/>
          <w:tab w:val="left" w:pos="993"/>
          <w:tab w:val="left" w:pos="1134"/>
        </w:tabs>
        <w:ind w:firstLine="567"/>
        <w:jc w:val="both"/>
        <w:rPr>
          <w:noProof/>
        </w:rPr>
      </w:pPr>
      <w:r>
        <w:rPr>
          <w:noProof/>
        </w:rPr>
        <w:t xml:space="preserve">Обсяги міжбюджетних трансфертів з інших бюджетів для бюджету Рахівської міської територіальної громади на 2026-2028 роки (освітня субвенція та базова дотація) передбачаються на підставі Бюджетної декларації, прийнятої Верховною Радою України 27 червня 2025 року (додаток 10). </w:t>
      </w:r>
    </w:p>
    <w:p w:rsidR="00E24304" w:rsidRDefault="00E24304" w:rsidP="00E24304">
      <w:pPr>
        <w:tabs>
          <w:tab w:val="left" w:pos="709"/>
          <w:tab w:val="left" w:pos="993"/>
          <w:tab w:val="left" w:pos="1134"/>
        </w:tabs>
        <w:ind w:firstLine="567"/>
        <w:jc w:val="both"/>
        <w:rPr>
          <w:noProof/>
        </w:rPr>
      </w:pPr>
      <w:r>
        <w:rPr>
          <w:noProof/>
        </w:rPr>
        <w:t>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w:t>
      </w:r>
    </w:p>
    <w:p w:rsidR="00E24304" w:rsidRDefault="00E24304" w:rsidP="00E24304">
      <w:pPr>
        <w:tabs>
          <w:tab w:val="left" w:pos="709"/>
          <w:tab w:val="left" w:pos="993"/>
          <w:tab w:val="left" w:pos="1134"/>
        </w:tabs>
        <w:ind w:firstLine="567"/>
        <w:jc w:val="both"/>
        <w:rPr>
          <w:noProof/>
        </w:rPr>
      </w:pPr>
      <w:r>
        <w:rPr>
          <w:noProof/>
        </w:rPr>
        <w:t>Базова дотація з державного бюджету на 2026 рік у порівнянні до плану 2025 року збільшується майже у 2 рази. Темпи росту обсягів базової дотації з державного бюджету становлять на 2027 рік до проєкту 2026 року – 13,7 %, у 2028 році – 9,4%.</w:t>
      </w:r>
    </w:p>
    <w:p w:rsidR="00E24304" w:rsidRDefault="00E24304" w:rsidP="00E24304">
      <w:pPr>
        <w:tabs>
          <w:tab w:val="left" w:pos="709"/>
          <w:tab w:val="left" w:pos="993"/>
          <w:tab w:val="left" w:pos="1134"/>
        </w:tabs>
        <w:ind w:firstLine="567"/>
        <w:jc w:val="both"/>
        <w:rPr>
          <w:noProof/>
        </w:rPr>
      </w:pPr>
      <w:r>
        <w:rPr>
          <w:noProof/>
        </w:rPr>
        <w:t xml:space="preserve">Темпи зростання обсягів освітньої субвенції з державного бюджету становлять на 2026 рік до плану 2025 року (січень-серпень) – 151,3%, на 2027 рік до проєкту 2026 року – 107,9 %, на 2028 рік до проєкту 2027 року – 107,3%. </w:t>
      </w:r>
    </w:p>
    <w:p w:rsidR="00E24304" w:rsidRDefault="00E24304" w:rsidP="00E24304">
      <w:pPr>
        <w:tabs>
          <w:tab w:val="left" w:pos="709"/>
          <w:tab w:val="left" w:pos="993"/>
          <w:tab w:val="left" w:pos="1134"/>
        </w:tabs>
        <w:ind w:firstLine="567"/>
        <w:jc w:val="both"/>
        <w:rPr>
          <w:noProof/>
        </w:rPr>
      </w:pPr>
      <w:r>
        <w:rPr>
          <w:noProof/>
        </w:rPr>
        <w:t xml:space="preserve">З обласного бюджету Закарпатської області передбачається субвенція з місцевого бюджету на здійснення переданих видатків у сфері освіти за рахунок коштів освітньої субвенції на забезпечення діяльності інклюзивно-ресурсного центру за рахунок освітньої субвенції на 2026 рік -2 438 500,00 грн., на 2027 рік- 2 630 800,00 грн.,на 2028 рік- 2 823 000,00 грн. </w:t>
      </w:r>
    </w:p>
    <w:p w:rsidR="00E24304" w:rsidRDefault="00E24304" w:rsidP="00E24304">
      <w:pPr>
        <w:tabs>
          <w:tab w:val="left" w:pos="709"/>
          <w:tab w:val="left" w:pos="993"/>
          <w:tab w:val="left" w:pos="1134"/>
        </w:tabs>
        <w:ind w:firstLine="567"/>
        <w:jc w:val="both"/>
        <w:rPr>
          <w:noProof/>
          <w:color w:val="FF0000"/>
        </w:rPr>
      </w:pPr>
    </w:p>
    <w:p w:rsidR="00E24304" w:rsidRDefault="00E24304" w:rsidP="00E24304">
      <w:pPr>
        <w:keepNext/>
        <w:keepLines/>
        <w:ind w:hanging="10"/>
        <w:jc w:val="center"/>
        <w:outlineLvl w:val="0"/>
        <w:rPr>
          <w:b/>
        </w:rPr>
      </w:pPr>
      <w:r>
        <w:rPr>
          <w:b/>
        </w:rPr>
        <w:t>ІХ. Інші положення та показники прогнозу бюджету</w:t>
      </w:r>
    </w:p>
    <w:p w:rsidR="00E24304" w:rsidRDefault="00E24304" w:rsidP="00E24304">
      <w:pPr>
        <w:keepNext/>
        <w:keepLines/>
        <w:ind w:hanging="10"/>
        <w:jc w:val="both"/>
        <w:outlineLvl w:val="0"/>
      </w:pPr>
      <w:r>
        <w:t>У продовж 2026-2028 років передбачається здійснити:</w:t>
      </w:r>
    </w:p>
    <w:p w:rsidR="00E24304" w:rsidRDefault="00E24304" w:rsidP="00E24304">
      <w:pPr>
        <w:keepNext/>
        <w:keepLines/>
        <w:numPr>
          <w:ilvl w:val="0"/>
          <w:numId w:val="2"/>
        </w:numPr>
        <w:suppressAutoHyphens w:val="0"/>
        <w:ind w:left="0"/>
        <w:jc w:val="both"/>
        <w:outlineLvl w:val="0"/>
      </w:pPr>
      <w:r>
        <w:t>підтримку стійкого економічного та соціального розвитку громади із урахуванням збалансування загальнодержавних і регіональних інтересів;</w:t>
      </w:r>
    </w:p>
    <w:p w:rsidR="00E24304" w:rsidRDefault="00E24304" w:rsidP="00E24304">
      <w:pPr>
        <w:keepNext/>
        <w:keepLines/>
        <w:numPr>
          <w:ilvl w:val="0"/>
          <w:numId w:val="2"/>
        </w:numPr>
        <w:suppressAutoHyphens w:val="0"/>
        <w:ind w:left="0"/>
        <w:jc w:val="both"/>
        <w:outlineLvl w:val="0"/>
      </w:pPr>
      <w:r>
        <w:t>узгодження пріоритетів і дій органів місцевого самоврядування щодо регіонального розвитку, зміцнення зв’язків між територіями;</w:t>
      </w:r>
    </w:p>
    <w:p w:rsidR="00E24304" w:rsidRDefault="00E24304" w:rsidP="00E24304">
      <w:pPr>
        <w:keepNext/>
        <w:keepLines/>
        <w:numPr>
          <w:ilvl w:val="0"/>
          <w:numId w:val="2"/>
        </w:numPr>
        <w:suppressAutoHyphens w:val="0"/>
        <w:ind w:left="0"/>
        <w:jc w:val="both"/>
        <w:outlineLvl w:val="0"/>
      </w:pPr>
      <w:r>
        <w:t>удосконалення програмно-цільового методу бюджетування на рівні місцевих бюджетів;</w:t>
      </w:r>
    </w:p>
    <w:p w:rsidR="00E24304" w:rsidRDefault="00E24304" w:rsidP="00E24304">
      <w:pPr>
        <w:widowControl w:val="0"/>
        <w:autoSpaceDE w:val="0"/>
        <w:autoSpaceDN w:val="0"/>
        <w:ind w:firstLine="851"/>
        <w:jc w:val="both"/>
        <w:rPr>
          <w:lang w:eastAsia="en-US"/>
        </w:rPr>
      </w:pPr>
      <w:r>
        <w:t>забезпечення достатнім фінансовим ресурсом та розвиток інфраструктури.</w:t>
      </w:r>
      <w:r>
        <w:rPr>
          <w:lang w:eastAsia="en-US"/>
        </w:rPr>
        <w:t xml:space="preserve"> </w:t>
      </w:r>
    </w:p>
    <w:p w:rsidR="00E24304" w:rsidRDefault="00E24304" w:rsidP="00E24304">
      <w:pPr>
        <w:widowControl w:val="0"/>
        <w:autoSpaceDE w:val="0"/>
        <w:autoSpaceDN w:val="0"/>
        <w:ind w:firstLine="851"/>
        <w:jc w:val="both"/>
        <w:rPr>
          <w:lang w:eastAsia="en-US"/>
        </w:rPr>
      </w:pPr>
      <w:r>
        <w:rPr>
          <w:lang w:eastAsia="en-US"/>
        </w:rPr>
        <w:t xml:space="preserve">Обсяг публічних інвестицій на підготовку та реалізацію публічних інвестиційних проектів та програм публічних інвестицій на 2026 </w:t>
      </w:r>
      <w:r>
        <w:rPr>
          <w:rFonts w:eastAsia="Calibri"/>
          <w:lang w:eastAsia="en-US"/>
        </w:rPr>
        <w:t>–</w:t>
      </w:r>
      <w:r>
        <w:rPr>
          <w:lang w:eastAsia="en-US"/>
        </w:rPr>
        <w:t xml:space="preserve"> 2028 роки становить 7 573 300,00 </w:t>
      </w:r>
      <w:proofErr w:type="spellStart"/>
      <w:r>
        <w:rPr>
          <w:lang w:eastAsia="en-US"/>
        </w:rPr>
        <w:t>грн</w:t>
      </w:r>
      <w:proofErr w:type="spellEnd"/>
      <w:r>
        <w:rPr>
          <w:lang w:eastAsia="en-US"/>
        </w:rPr>
        <w:t>, у тому числі у розрізі підтверджених джерел фінансового забезпечення та за роками:</w:t>
      </w:r>
    </w:p>
    <w:p w:rsidR="00E24304" w:rsidRDefault="00E24304" w:rsidP="00E24304">
      <w:pPr>
        <w:widowControl w:val="0"/>
        <w:autoSpaceDE w:val="0"/>
        <w:autoSpaceDN w:val="0"/>
        <w:jc w:val="right"/>
        <w:rPr>
          <w:lang w:eastAsia="en-US"/>
        </w:rPr>
      </w:pPr>
      <w:r>
        <w:rPr>
          <w:lang w:eastAsia="en-US"/>
        </w:rPr>
        <w:t xml:space="preserve">                                                                                                                                  </w:t>
      </w:r>
      <w:proofErr w:type="spellStart"/>
      <w:r>
        <w:rPr>
          <w:lang w:eastAsia="en-US"/>
        </w:rPr>
        <w:t>грн</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679"/>
        <w:gridCol w:w="1679"/>
        <w:gridCol w:w="1798"/>
        <w:gridCol w:w="1940"/>
      </w:tblGrid>
      <w:tr w:rsidR="00E24304" w:rsidTr="00D729AA">
        <w:tc>
          <w:tcPr>
            <w:tcW w:w="2518"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lang w:eastAsia="ru-RU"/>
              </w:rPr>
            </w:pPr>
            <w:r>
              <w:t>Найменування показника</w:t>
            </w:r>
          </w:p>
        </w:tc>
        <w:tc>
          <w:tcPr>
            <w:tcW w:w="1701"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lang w:eastAsia="ru-RU"/>
              </w:rPr>
            </w:pPr>
            <w:r>
              <w:t xml:space="preserve">2026 рік </w:t>
            </w:r>
          </w:p>
          <w:p w:rsidR="00E24304" w:rsidRDefault="00E24304" w:rsidP="00D729AA">
            <w:pPr>
              <w:jc w:val="both"/>
              <w:rPr>
                <w:lang w:eastAsia="ru-RU"/>
              </w:rPr>
            </w:pPr>
            <w:r>
              <w:t>(прогноз)</w:t>
            </w:r>
          </w:p>
        </w:tc>
        <w:tc>
          <w:tcPr>
            <w:tcW w:w="1701"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lang w:eastAsia="ru-RU"/>
              </w:rPr>
            </w:pPr>
            <w:r>
              <w:t xml:space="preserve">2027 рік </w:t>
            </w:r>
          </w:p>
          <w:p w:rsidR="00E24304" w:rsidRDefault="00E24304" w:rsidP="00D729AA">
            <w:pPr>
              <w:jc w:val="both"/>
              <w:rPr>
                <w:lang w:eastAsia="ru-RU"/>
              </w:rPr>
            </w:pPr>
            <w:r>
              <w:t>(прогноз)</w:t>
            </w:r>
          </w:p>
        </w:tc>
        <w:tc>
          <w:tcPr>
            <w:tcW w:w="1826"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lang w:eastAsia="ru-RU"/>
              </w:rPr>
            </w:pPr>
            <w:r>
              <w:t xml:space="preserve">2028 рік </w:t>
            </w:r>
          </w:p>
          <w:p w:rsidR="00E24304" w:rsidRDefault="00E24304" w:rsidP="00D729AA">
            <w:pPr>
              <w:jc w:val="both"/>
              <w:rPr>
                <w:lang w:eastAsia="ru-RU"/>
              </w:rPr>
            </w:pPr>
            <w:r>
              <w:t>(прогноз)</w:t>
            </w:r>
          </w:p>
        </w:tc>
        <w:tc>
          <w:tcPr>
            <w:tcW w:w="1966"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both"/>
              <w:rPr>
                <w:lang w:eastAsia="ru-RU"/>
              </w:rPr>
            </w:pPr>
            <w:r>
              <w:t>Разом за 2026-2028 роки</w:t>
            </w:r>
          </w:p>
          <w:p w:rsidR="00E24304" w:rsidRDefault="00E24304" w:rsidP="00D729AA">
            <w:pPr>
              <w:jc w:val="both"/>
              <w:rPr>
                <w:lang w:eastAsia="ru-RU"/>
              </w:rPr>
            </w:pPr>
            <w:r>
              <w:t xml:space="preserve"> ( прогноз)</w:t>
            </w:r>
          </w:p>
        </w:tc>
      </w:tr>
      <w:tr w:rsidR="00E24304" w:rsidTr="00D729AA">
        <w:tc>
          <w:tcPr>
            <w:tcW w:w="2518" w:type="dxa"/>
            <w:tcBorders>
              <w:top w:val="single" w:sz="4" w:space="0" w:color="auto"/>
              <w:left w:val="single" w:sz="4" w:space="0" w:color="auto"/>
              <w:bottom w:val="single" w:sz="4" w:space="0" w:color="auto"/>
              <w:right w:val="single" w:sz="4" w:space="0" w:color="auto"/>
            </w:tcBorders>
            <w:hideMark/>
          </w:tcPr>
          <w:p w:rsidR="00E24304" w:rsidRDefault="00E24304" w:rsidP="00D729AA">
            <w:pPr>
              <w:rPr>
                <w:lang w:eastAsia="ru-RU"/>
              </w:rPr>
            </w:pPr>
            <w:r>
              <w:t>Кошти від продажу землі</w:t>
            </w:r>
          </w:p>
        </w:tc>
        <w:tc>
          <w:tcPr>
            <w:tcW w:w="1701"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center"/>
              <w:rPr>
                <w:lang w:eastAsia="ru-RU"/>
              </w:rPr>
            </w:pPr>
            <w:r>
              <w:t>2 365 200,00</w:t>
            </w:r>
          </w:p>
        </w:tc>
        <w:tc>
          <w:tcPr>
            <w:tcW w:w="1701"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center"/>
              <w:rPr>
                <w:lang w:eastAsia="ru-RU"/>
              </w:rPr>
            </w:pPr>
            <w:r>
              <w:t>2 533 100,00</w:t>
            </w:r>
          </w:p>
        </w:tc>
        <w:tc>
          <w:tcPr>
            <w:tcW w:w="1826"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center"/>
              <w:rPr>
                <w:lang w:eastAsia="ru-RU"/>
              </w:rPr>
            </w:pPr>
            <w:r>
              <w:t>2 675 000,00</w:t>
            </w:r>
          </w:p>
        </w:tc>
        <w:tc>
          <w:tcPr>
            <w:tcW w:w="1966" w:type="dxa"/>
            <w:tcBorders>
              <w:top w:val="single" w:sz="4" w:space="0" w:color="auto"/>
              <w:left w:val="single" w:sz="4" w:space="0" w:color="auto"/>
              <w:bottom w:val="single" w:sz="4" w:space="0" w:color="auto"/>
              <w:right w:val="single" w:sz="4" w:space="0" w:color="auto"/>
            </w:tcBorders>
            <w:hideMark/>
          </w:tcPr>
          <w:p w:rsidR="00E24304" w:rsidRDefault="00E24304" w:rsidP="00D729AA">
            <w:pPr>
              <w:jc w:val="center"/>
              <w:rPr>
                <w:lang w:eastAsia="ru-RU"/>
              </w:rPr>
            </w:pPr>
            <w:r>
              <w:t>7 573 300,00</w:t>
            </w:r>
          </w:p>
        </w:tc>
      </w:tr>
    </w:tbl>
    <w:p w:rsidR="00E24304" w:rsidRDefault="00E24304" w:rsidP="00E24304">
      <w:pPr>
        <w:widowControl w:val="0"/>
        <w:autoSpaceDE w:val="0"/>
        <w:autoSpaceDN w:val="0"/>
        <w:jc w:val="both"/>
        <w:rPr>
          <w:color w:val="FF0000"/>
          <w:lang w:eastAsia="en-US"/>
        </w:rPr>
      </w:pPr>
    </w:p>
    <w:p w:rsidR="00E24304" w:rsidRDefault="00E24304" w:rsidP="00E24304">
      <w:pPr>
        <w:ind w:firstLine="708"/>
        <w:jc w:val="both"/>
        <w:rPr>
          <w:lang w:eastAsia="en-US"/>
        </w:rPr>
      </w:pPr>
      <w:r>
        <w:rPr>
          <w:lang w:eastAsia="en-US"/>
        </w:rPr>
        <w:t xml:space="preserve">Пріоритетні галузі (сектори) для публічного інвестування, що містяться в середньостроковому плані є ключовими для Рахівської міської територіальної громади та саме на них спрямовуватимуться публічні інвестиції на середньостроковий період. </w:t>
      </w:r>
    </w:p>
    <w:p w:rsidR="00E24304" w:rsidRDefault="00E24304" w:rsidP="00E24304">
      <w:pPr>
        <w:ind w:firstLine="708"/>
        <w:jc w:val="both"/>
        <w:rPr>
          <w:lang w:eastAsia="en-US"/>
        </w:rPr>
      </w:pPr>
      <w:r>
        <w:rPr>
          <w:lang w:eastAsia="en-US"/>
        </w:rPr>
        <w:lastRenderedPageBreak/>
        <w:t>До пріоритетних галузей (секторів) для публічного інвестування, визначених цим планом, відносяться:</w:t>
      </w:r>
    </w:p>
    <w:p w:rsidR="00E24304" w:rsidRDefault="00E24304" w:rsidP="00E24304">
      <w:pPr>
        <w:ind w:firstLine="709"/>
        <w:jc w:val="both"/>
        <w:rPr>
          <w:lang w:eastAsia="en-US"/>
        </w:rPr>
      </w:pPr>
      <w:r>
        <w:rPr>
          <w:lang w:eastAsia="en-US"/>
        </w:rPr>
        <w:t>1. Освіта і наука (відділ освіти, культури, молоді та спорту Рахівської міської ради);</w:t>
      </w:r>
    </w:p>
    <w:p w:rsidR="00E24304" w:rsidRDefault="00E24304" w:rsidP="00E24304">
      <w:pPr>
        <w:ind w:firstLine="709"/>
        <w:jc w:val="both"/>
        <w:rPr>
          <w:lang w:eastAsia="en-US"/>
        </w:rPr>
      </w:pPr>
      <w:r>
        <w:rPr>
          <w:lang w:eastAsia="en-US"/>
        </w:rPr>
        <w:t>2. Довкілля (Рахівська міська рада, відділ житлово-комунального господарства, майна та цивільного захисту, МКП “</w:t>
      </w:r>
      <w:proofErr w:type="spellStart"/>
      <w:r>
        <w:rPr>
          <w:lang w:eastAsia="en-US"/>
        </w:rPr>
        <w:t>Рахівкомунсервіс</w:t>
      </w:r>
      <w:proofErr w:type="spellEnd"/>
      <w:r>
        <w:rPr>
          <w:lang w:eastAsia="en-US"/>
        </w:rPr>
        <w:t>”);</w:t>
      </w:r>
    </w:p>
    <w:p w:rsidR="00E24304" w:rsidRDefault="00E24304" w:rsidP="00E24304">
      <w:pPr>
        <w:ind w:firstLine="709"/>
        <w:jc w:val="both"/>
        <w:rPr>
          <w:lang w:eastAsia="en-US"/>
        </w:rPr>
      </w:pPr>
      <w:r>
        <w:rPr>
          <w:lang w:eastAsia="en-US"/>
        </w:rPr>
        <w:t>3. Муніципальна інфраструктура та послуги (Рахівська міська рада, відділ житлово-комунального господарства, майна та цивільного захисту, КП “</w:t>
      </w:r>
      <w:proofErr w:type="spellStart"/>
      <w:r>
        <w:rPr>
          <w:lang w:eastAsia="en-US"/>
        </w:rPr>
        <w:t>Рахівтепло</w:t>
      </w:r>
      <w:proofErr w:type="spellEnd"/>
      <w:r>
        <w:rPr>
          <w:lang w:eastAsia="en-US"/>
        </w:rPr>
        <w:t>”);</w:t>
      </w:r>
    </w:p>
    <w:p w:rsidR="00E24304" w:rsidRDefault="00E24304" w:rsidP="00E24304">
      <w:pPr>
        <w:ind w:firstLine="708"/>
        <w:jc w:val="both"/>
        <w:rPr>
          <w:lang w:eastAsia="en-US"/>
        </w:rPr>
      </w:pPr>
      <w:r>
        <w:rPr>
          <w:lang w:eastAsia="en-US"/>
        </w:rPr>
        <w:t xml:space="preserve">4. Охорона здоров’я (Рахівська міська рада, КПН “Рахівський ЦПМСД”, КНП “Рахівська районна лікарня” Рахівської міської ради </w:t>
      </w:r>
      <w:proofErr w:type="spellStart"/>
      <w:r>
        <w:rPr>
          <w:lang w:eastAsia="en-US"/>
        </w:rPr>
        <w:t>Закарпастької</w:t>
      </w:r>
      <w:proofErr w:type="spellEnd"/>
      <w:r>
        <w:rPr>
          <w:lang w:eastAsia="en-US"/>
        </w:rPr>
        <w:t xml:space="preserve"> області); </w:t>
      </w:r>
    </w:p>
    <w:p w:rsidR="00E24304" w:rsidRDefault="00E24304" w:rsidP="00E24304">
      <w:pPr>
        <w:ind w:firstLine="708"/>
        <w:jc w:val="both"/>
        <w:rPr>
          <w:lang w:eastAsia="en-US"/>
        </w:rPr>
      </w:pPr>
      <w:r>
        <w:rPr>
          <w:lang w:eastAsia="en-US"/>
        </w:rPr>
        <w:t>З метою досягнення стратегічних цілей розвитку Рахівської міської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4 ключових секторів (галузей) для публічного інвестування.</w:t>
      </w:r>
    </w:p>
    <w:p w:rsidR="00E24304" w:rsidRDefault="00E24304" w:rsidP="00E24304">
      <w:pPr>
        <w:ind w:firstLine="708"/>
        <w:jc w:val="both"/>
        <w:rPr>
          <w:lang w:eastAsia="en-US"/>
        </w:rPr>
      </w:pPr>
      <w:r>
        <w:rPr>
          <w:lang w:eastAsia="en-US"/>
        </w:rPr>
        <w:t>Сектор (галузь) «Освіта і наука» спрямований на:</w:t>
      </w:r>
    </w:p>
    <w:p w:rsidR="00E24304" w:rsidRDefault="00E24304" w:rsidP="00E24304">
      <w:pPr>
        <w:ind w:firstLine="708"/>
        <w:jc w:val="both"/>
        <w:rPr>
          <w:lang w:eastAsia="en-US"/>
        </w:rPr>
      </w:pPr>
      <w:r>
        <w:rPr>
          <w:lang w:eastAsia="en-US"/>
        </w:rPr>
        <w:t>Забезпечення безпеки учасників освітнього процесу шляхом створення або модернізації захисної інфраструктури закладів загальної середньої освіти</w:t>
      </w:r>
    </w:p>
    <w:p w:rsidR="00E24304" w:rsidRDefault="00E24304" w:rsidP="00E24304">
      <w:pPr>
        <w:ind w:firstLine="708"/>
        <w:jc w:val="both"/>
        <w:rPr>
          <w:lang w:eastAsia="en-US"/>
        </w:rPr>
      </w:pPr>
      <w:r>
        <w:rPr>
          <w:lang w:eastAsia="en-US"/>
        </w:rPr>
        <w:t>Забезпечення доступу до якісного та безпечного харчування у закладах освіти шляхом розвитку сучасної інфраструктури їдалень (харчоблоків)</w:t>
      </w:r>
    </w:p>
    <w:p w:rsidR="00E24304" w:rsidRDefault="00E24304" w:rsidP="00E24304">
      <w:pPr>
        <w:ind w:firstLine="708"/>
        <w:jc w:val="both"/>
        <w:rPr>
          <w:lang w:eastAsia="en-US"/>
        </w:rPr>
      </w:pPr>
      <w:r>
        <w:rPr>
          <w:lang w:eastAsia="en-US"/>
        </w:rPr>
        <w:t>Забезпечення якісної, сучасної та доступної загальної середньої освіти "Нова українська школа"</w:t>
      </w:r>
    </w:p>
    <w:p w:rsidR="00E24304" w:rsidRDefault="00E24304" w:rsidP="00E24304">
      <w:pPr>
        <w:ind w:firstLine="708"/>
        <w:jc w:val="both"/>
        <w:rPr>
          <w:lang w:eastAsia="en-US"/>
        </w:rPr>
      </w:pPr>
      <w:r>
        <w:rPr>
          <w:lang w:eastAsia="en-US"/>
        </w:rPr>
        <w:t>Модернізація інфраструктури закладів освіти, закладів освіти у сфері культури шляхом впровадження заходів з енергозбереження, та підвищення рівня енергоефективності</w:t>
      </w:r>
    </w:p>
    <w:p w:rsidR="00E24304" w:rsidRDefault="00E24304" w:rsidP="00E24304">
      <w:pPr>
        <w:ind w:firstLine="708"/>
        <w:jc w:val="both"/>
        <w:rPr>
          <w:lang w:eastAsia="en-US"/>
        </w:rPr>
      </w:pPr>
      <w:r>
        <w:rPr>
          <w:lang w:eastAsia="en-US"/>
        </w:rPr>
        <w:t>Модернізація об'єктів освітньої та культурної інфраструктури з метою покращення якості та комфорту користувачів.</w:t>
      </w:r>
    </w:p>
    <w:p w:rsidR="00E24304" w:rsidRDefault="00E24304" w:rsidP="00E24304">
      <w:pPr>
        <w:ind w:firstLine="708"/>
        <w:jc w:val="both"/>
        <w:rPr>
          <w:lang w:eastAsia="en-US"/>
        </w:rPr>
      </w:pPr>
    </w:p>
    <w:p w:rsidR="00E24304" w:rsidRDefault="00E24304" w:rsidP="00E24304">
      <w:pPr>
        <w:ind w:firstLine="708"/>
        <w:jc w:val="both"/>
        <w:rPr>
          <w:lang w:eastAsia="en-US"/>
        </w:rPr>
      </w:pPr>
      <w:r>
        <w:rPr>
          <w:lang w:eastAsia="en-US"/>
        </w:rPr>
        <w:t>Сектор (галузь) «Муніципальна інфраструктура та послуги» спрямований на:</w:t>
      </w:r>
    </w:p>
    <w:p w:rsidR="00E24304" w:rsidRDefault="00E24304" w:rsidP="00E24304">
      <w:pPr>
        <w:ind w:firstLine="708"/>
        <w:jc w:val="both"/>
        <w:rPr>
          <w:lang w:eastAsia="en-US"/>
        </w:rPr>
      </w:pPr>
      <w:r>
        <w:rPr>
          <w:lang w:eastAsia="en-US"/>
        </w:rPr>
        <w:t>Комфортне міське середовище та благоустрій</w:t>
      </w:r>
    </w:p>
    <w:p w:rsidR="00E24304" w:rsidRDefault="00E24304" w:rsidP="00E24304">
      <w:pPr>
        <w:ind w:firstLine="708"/>
        <w:jc w:val="both"/>
        <w:rPr>
          <w:lang w:eastAsia="en-US"/>
        </w:rPr>
      </w:pPr>
      <w:r>
        <w:rPr>
          <w:lang w:eastAsia="en-US"/>
        </w:rPr>
        <w:t>Розвиток вулично-дорожньої мережі</w:t>
      </w:r>
    </w:p>
    <w:p w:rsidR="00E24304" w:rsidRDefault="00E24304" w:rsidP="00E24304">
      <w:pPr>
        <w:ind w:firstLine="708"/>
        <w:jc w:val="both"/>
        <w:rPr>
          <w:lang w:eastAsia="en-US"/>
        </w:rPr>
      </w:pPr>
      <w:r>
        <w:rPr>
          <w:lang w:eastAsia="en-US"/>
        </w:rPr>
        <w:t>Розвиток мережі водопостачання та водовідведення, поводження зі стічними водами</w:t>
      </w:r>
    </w:p>
    <w:p w:rsidR="00E24304" w:rsidRDefault="00E24304" w:rsidP="00E24304">
      <w:pPr>
        <w:ind w:firstLine="708"/>
        <w:jc w:val="both"/>
        <w:rPr>
          <w:lang w:eastAsia="en-US"/>
        </w:rPr>
      </w:pPr>
      <w:r>
        <w:rPr>
          <w:lang w:eastAsia="en-US"/>
        </w:rPr>
        <w:t xml:space="preserve">Створення </w:t>
      </w:r>
      <w:proofErr w:type="spellStart"/>
      <w:r>
        <w:rPr>
          <w:lang w:eastAsia="en-US"/>
        </w:rPr>
        <w:t>безбар'єрного</w:t>
      </w:r>
      <w:proofErr w:type="spellEnd"/>
      <w:r>
        <w:rPr>
          <w:lang w:eastAsia="en-US"/>
        </w:rPr>
        <w:t xml:space="preserve"> простору в громаді</w:t>
      </w:r>
    </w:p>
    <w:p w:rsidR="00E24304" w:rsidRDefault="00E24304" w:rsidP="00E24304">
      <w:pPr>
        <w:jc w:val="both"/>
        <w:rPr>
          <w:lang w:eastAsia="en-US"/>
        </w:rPr>
      </w:pPr>
    </w:p>
    <w:p w:rsidR="00E24304" w:rsidRDefault="00E24304" w:rsidP="00E24304">
      <w:pPr>
        <w:ind w:firstLine="708"/>
        <w:jc w:val="both"/>
        <w:rPr>
          <w:lang w:eastAsia="en-US"/>
        </w:rPr>
      </w:pPr>
      <w:r>
        <w:rPr>
          <w:lang w:eastAsia="en-US"/>
        </w:rPr>
        <w:t>Сектор (галузь) «Охорона здоров’я» спрямований на:</w:t>
      </w:r>
    </w:p>
    <w:p w:rsidR="00E24304" w:rsidRDefault="00E24304" w:rsidP="00E24304">
      <w:pPr>
        <w:ind w:firstLine="708"/>
        <w:jc w:val="both"/>
        <w:rPr>
          <w:lang w:eastAsia="en-US"/>
        </w:rPr>
      </w:pPr>
      <w:r>
        <w:rPr>
          <w:lang w:eastAsia="en-US"/>
        </w:rPr>
        <w:t>Будівництво амбулаторних приміщень для забезпечення потреб населення</w:t>
      </w:r>
    </w:p>
    <w:p w:rsidR="00E24304" w:rsidRDefault="00E24304" w:rsidP="00E24304">
      <w:pPr>
        <w:ind w:firstLine="708"/>
        <w:jc w:val="both"/>
        <w:rPr>
          <w:lang w:eastAsia="en-US"/>
        </w:rPr>
      </w:pPr>
      <w:r>
        <w:rPr>
          <w:lang w:eastAsia="en-US"/>
        </w:rPr>
        <w:t>Модернізація приміщень та інженерних мереж закладів охорони здоров'я</w:t>
      </w:r>
    </w:p>
    <w:p w:rsidR="00E24304" w:rsidRDefault="00E24304" w:rsidP="00E24304">
      <w:pPr>
        <w:ind w:firstLine="708"/>
        <w:jc w:val="both"/>
        <w:rPr>
          <w:lang w:eastAsia="en-US"/>
        </w:rPr>
      </w:pPr>
      <w:r>
        <w:rPr>
          <w:lang w:eastAsia="en-US"/>
        </w:rPr>
        <w:t xml:space="preserve">Підвищення рівня </w:t>
      </w:r>
      <w:proofErr w:type="spellStart"/>
      <w:r>
        <w:rPr>
          <w:lang w:eastAsia="en-US"/>
        </w:rPr>
        <w:t>безбар'єрності</w:t>
      </w:r>
      <w:proofErr w:type="spellEnd"/>
      <w:r>
        <w:rPr>
          <w:lang w:eastAsia="en-US"/>
        </w:rPr>
        <w:t xml:space="preserve"> закладів охорони здоров'я</w:t>
      </w:r>
    </w:p>
    <w:p w:rsidR="00E24304" w:rsidRDefault="00E24304" w:rsidP="00E24304">
      <w:pPr>
        <w:ind w:firstLine="708"/>
        <w:jc w:val="both"/>
        <w:rPr>
          <w:lang w:eastAsia="en-US"/>
        </w:rPr>
      </w:pPr>
      <w:r>
        <w:rPr>
          <w:lang w:eastAsia="en-US"/>
        </w:rPr>
        <w:t>Підтримка материнства та дитинства в Україні</w:t>
      </w:r>
    </w:p>
    <w:p w:rsidR="00E24304" w:rsidRDefault="00E24304" w:rsidP="00E24304">
      <w:pPr>
        <w:ind w:firstLine="708"/>
        <w:jc w:val="both"/>
        <w:rPr>
          <w:lang w:eastAsia="en-US"/>
        </w:rPr>
      </w:pPr>
      <w:r>
        <w:rPr>
          <w:lang w:eastAsia="en-US"/>
        </w:rPr>
        <w:t>Розвиток інфраструктури для покращення надання послуг фізичної, психологічної та соціальної реабілітації населення.</w:t>
      </w:r>
    </w:p>
    <w:p w:rsidR="00E24304" w:rsidRDefault="00E24304" w:rsidP="00E24304">
      <w:pPr>
        <w:ind w:firstLine="708"/>
        <w:jc w:val="both"/>
        <w:rPr>
          <w:lang w:eastAsia="en-US"/>
        </w:rPr>
      </w:pPr>
      <w:r>
        <w:rPr>
          <w:lang w:eastAsia="en-US"/>
        </w:rPr>
        <w:t>Сектор (галузь) «Довкілля» спрямований на:</w:t>
      </w:r>
    </w:p>
    <w:p w:rsidR="00E24304" w:rsidRDefault="00E24304" w:rsidP="00E24304">
      <w:pPr>
        <w:ind w:firstLine="708"/>
        <w:jc w:val="both"/>
        <w:rPr>
          <w:lang w:eastAsia="en-US"/>
        </w:rPr>
      </w:pPr>
      <w:r>
        <w:rPr>
          <w:lang w:eastAsia="en-US"/>
        </w:rPr>
        <w:t>Розширення мережі сучасних майданчиків для збору та сортування сміття</w:t>
      </w:r>
    </w:p>
    <w:p w:rsidR="00E24304" w:rsidRDefault="00E24304" w:rsidP="00E24304">
      <w:pPr>
        <w:ind w:firstLine="708"/>
        <w:jc w:val="both"/>
        <w:rPr>
          <w:lang w:eastAsia="en-US"/>
        </w:rPr>
      </w:pPr>
      <w:r>
        <w:rPr>
          <w:lang w:eastAsia="en-US"/>
        </w:rPr>
        <w:t>Удосконалення системи поводження з твердими побутовими відходами в межах територіальної громади</w:t>
      </w:r>
    </w:p>
    <w:p w:rsidR="00E24304" w:rsidRDefault="00E24304" w:rsidP="00E24304">
      <w:pPr>
        <w:jc w:val="both"/>
        <w:rPr>
          <w:color w:val="FF0000"/>
          <w:lang w:eastAsia="ru-RU"/>
        </w:rPr>
      </w:pPr>
    </w:p>
    <w:p w:rsidR="00E24304" w:rsidRDefault="00E24304" w:rsidP="00E24304">
      <w:pPr>
        <w:ind w:firstLine="723"/>
        <w:jc w:val="both"/>
      </w:pPr>
      <w:r>
        <w:t xml:space="preserve">В Прогнозі бюджету Рахівської міської територіальної громади на 2026-2028 роки наявні наступні додатки: </w:t>
      </w:r>
    </w:p>
    <w:p w:rsidR="00E24304" w:rsidRDefault="00E24304" w:rsidP="00E24304">
      <w:pPr>
        <w:jc w:val="both"/>
      </w:pPr>
      <w:r>
        <w:t>додаток 1 «Загальні показники бюджету»;</w:t>
      </w:r>
    </w:p>
    <w:p w:rsidR="00E24304" w:rsidRDefault="00E24304" w:rsidP="00E24304">
      <w:pPr>
        <w:jc w:val="both"/>
      </w:pPr>
      <w:r>
        <w:t>додаток 2 «Показники доходів бюджету»;</w:t>
      </w:r>
    </w:p>
    <w:p w:rsidR="00E24304" w:rsidRDefault="00E24304" w:rsidP="00E24304">
      <w:pPr>
        <w:jc w:val="both"/>
      </w:pPr>
      <w:r>
        <w:t>додаток 3 «Показники фінансування бюджету»;</w:t>
      </w:r>
    </w:p>
    <w:p w:rsidR="00E24304" w:rsidRDefault="00E24304" w:rsidP="00E24304">
      <w:pPr>
        <w:jc w:val="both"/>
      </w:pPr>
      <w:r>
        <w:lastRenderedPageBreak/>
        <w:t xml:space="preserve">додаток 6 «Граничні показники видатків бюджету та надання кредитів з бюджету головним розпорядникам коштів»; </w:t>
      </w:r>
    </w:p>
    <w:p w:rsidR="00E24304" w:rsidRDefault="00E24304" w:rsidP="00E24304">
      <w:pPr>
        <w:jc w:val="both"/>
      </w:pPr>
      <w:r>
        <w:t>додаток 7 «Граничні показники видатків бюджету за Типовою програмною класифікацією видатків та кредитування місцевого бюджету»;</w:t>
      </w:r>
    </w:p>
    <w:p w:rsidR="00E24304" w:rsidRDefault="00E24304" w:rsidP="00E24304">
      <w:pPr>
        <w:jc w:val="both"/>
      </w:pPr>
      <w:r>
        <w:t>додаток 8 «Граничні показники кредитування бюджету за Типовою програмною класифікацією видатків та кредитування місцевого бюджету»;</w:t>
      </w:r>
    </w:p>
    <w:p w:rsidR="00E24304" w:rsidRDefault="00E24304" w:rsidP="00E24304">
      <w:pPr>
        <w:jc w:val="both"/>
      </w:pPr>
      <w:proofErr w:type="spellStart"/>
      <w:r>
        <w:t>додаток </w:t>
      </w:r>
      <w:proofErr w:type="spellEnd"/>
      <w:r>
        <w:t>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регіону (територіальної громади) на 2026–2028 роки»;</w:t>
      </w:r>
    </w:p>
    <w:p w:rsidR="00E24304" w:rsidRDefault="00E24304" w:rsidP="00E24304">
      <w:pPr>
        <w:jc w:val="both"/>
      </w:pPr>
      <w:r>
        <w:t>додаток 10 «Показники міжбюджетних трансфертів з інших бюджетів»;</w:t>
      </w:r>
    </w:p>
    <w:p w:rsidR="00E24304" w:rsidRDefault="00E24304" w:rsidP="00E24304">
      <w:pPr>
        <w:jc w:val="both"/>
        <w:rPr>
          <w:color w:val="FF0000"/>
        </w:rPr>
      </w:pPr>
    </w:p>
    <w:p w:rsidR="00E24304" w:rsidRDefault="00E24304" w:rsidP="00E24304">
      <w:pPr>
        <w:jc w:val="both"/>
      </w:pPr>
      <w:r>
        <w:t>У зв’язку з відсутністю показників не подаються до Прогнозу:</w:t>
      </w:r>
    </w:p>
    <w:p w:rsidR="00E24304" w:rsidRDefault="00E24304" w:rsidP="00E24304">
      <w:pPr>
        <w:jc w:val="both"/>
      </w:pPr>
      <w:r>
        <w:t>додаток 4 «Показники місцевого боргу»;</w:t>
      </w:r>
    </w:p>
    <w:p w:rsidR="00E24304" w:rsidRDefault="00E24304" w:rsidP="00E24304">
      <w:pPr>
        <w:jc w:val="both"/>
      </w:pPr>
      <w:r>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E24304" w:rsidRPr="00EC2291" w:rsidRDefault="00E24304" w:rsidP="00E24304">
      <w:pPr>
        <w:jc w:val="both"/>
        <w:rPr>
          <w:lang w:val="ru-RU"/>
        </w:rPr>
      </w:pPr>
      <w:r>
        <w:t>додаток 11 «Показники міжбюджетних трансфертів іншим бюджетам».</w:t>
      </w:r>
    </w:p>
    <w:p w:rsidR="00E24304" w:rsidRDefault="00E24304" w:rsidP="00E24304">
      <w:pPr>
        <w:jc w:val="both"/>
      </w:pPr>
    </w:p>
    <w:p w:rsidR="00E24304" w:rsidRDefault="00E24304" w:rsidP="00E24304">
      <w:pPr>
        <w:jc w:val="both"/>
      </w:pPr>
    </w:p>
    <w:p w:rsidR="00E24304" w:rsidRDefault="00E24304" w:rsidP="00E24304">
      <w:pPr>
        <w:tabs>
          <w:tab w:val="left" w:pos="540"/>
        </w:tabs>
        <w:rPr>
          <w:bCs/>
          <w:color w:val="000000"/>
          <w:sz w:val="28"/>
          <w:szCs w:val="28"/>
        </w:rPr>
      </w:pPr>
      <w:proofErr w:type="spellStart"/>
      <w:r>
        <w:rPr>
          <w:bCs/>
          <w:color w:val="000000"/>
          <w:sz w:val="28"/>
          <w:szCs w:val="28"/>
        </w:rPr>
        <w:t>В.п</w:t>
      </w:r>
      <w:proofErr w:type="spellEnd"/>
      <w:r>
        <w:rPr>
          <w:bCs/>
          <w:color w:val="000000"/>
          <w:sz w:val="28"/>
          <w:szCs w:val="28"/>
        </w:rPr>
        <w:t>. міського голови,</w:t>
      </w:r>
    </w:p>
    <w:p w:rsidR="00E24304" w:rsidRDefault="00E24304" w:rsidP="00E24304">
      <w:pPr>
        <w:tabs>
          <w:tab w:val="left" w:pos="540"/>
        </w:tabs>
        <w:rPr>
          <w:bCs/>
          <w:color w:val="000000"/>
          <w:sz w:val="28"/>
          <w:szCs w:val="28"/>
        </w:rPr>
      </w:pPr>
      <w:r>
        <w:rPr>
          <w:bCs/>
          <w:color w:val="000000"/>
          <w:sz w:val="28"/>
          <w:szCs w:val="28"/>
        </w:rPr>
        <w:t>секретар ради та виконкому                                                     Євген МОЛНАР</w:t>
      </w:r>
    </w:p>
    <w:p w:rsidR="00E24304" w:rsidRDefault="00E24304" w:rsidP="00E24304">
      <w:pPr>
        <w:jc w:val="both"/>
      </w:pPr>
    </w:p>
    <w:p w:rsidR="00093448" w:rsidRPr="00E24304" w:rsidRDefault="00093448" w:rsidP="00E24304">
      <w:pPr>
        <w:suppressAutoHyphens w:val="0"/>
        <w:spacing w:after="200" w:line="276" w:lineRule="auto"/>
        <w:rPr>
          <w:bCs/>
          <w:color w:val="000000" w:themeColor="text1"/>
          <w:sz w:val="28"/>
          <w:szCs w:val="28"/>
          <w:lang w:val="en-US"/>
        </w:rPr>
      </w:pPr>
    </w:p>
    <w:sectPr w:rsidR="00093448" w:rsidRPr="00E24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55D2"/>
    <w:multiLevelType w:val="hybridMultilevel"/>
    <w:tmpl w:val="495CA95C"/>
    <w:lvl w:ilvl="0" w:tplc="4D504744">
      <w:numFmt w:val="bullet"/>
      <w:lvlText w:val="-"/>
      <w:lvlJc w:val="left"/>
      <w:pPr>
        <w:ind w:left="720" w:hanging="360"/>
      </w:pPr>
      <w:rPr>
        <w:rFonts w:ascii="Times New Roman" w:eastAsia="Calibri"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E3D6FDF"/>
    <w:multiLevelType w:val="hybridMultilevel"/>
    <w:tmpl w:val="1B6C8502"/>
    <w:lvl w:ilvl="0" w:tplc="5464DC6E">
      <w:start w:val="62"/>
      <w:numFmt w:val="bullet"/>
      <w:lvlText w:val="-"/>
      <w:lvlJc w:val="left"/>
      <w:pPr>
        <w:ind w:left="1059" w:hanging="360"/>
      </w:pPr>
      <w:rPr>
        <w:rFonts w:ascii="Times New Roman" w:eastAsia="Times New Roman" w:hAnsi="Times New Roman" w:cs="Times New Roman" w:hint="default"/>
      </w:rPr>
    </w:lvl>
    <w:lvl w:ilvl="1" w:tplc="04190003">
      <w:start w:val="1"/>
      <w:numFmt w:val="bullet"/>
      <w:lvlText w:val="o"/>
      <w:lvlJc w:val="left"/>
      <w:pPr>
        <w:ind w:left="1779" w:hanging="360"/>
      </w:pPr>
      <w:rPr>
        <w:rFonts w:ascii="Courier New" w:hAnsi="Courier New" w:cs="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cs="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cs="Courier New" w:hint="default"/>
      </w:rPr>
    </w:lvl>
    <w:lvl w:ilvl="8" w:tplc="04190005">
      <w:start w:val="1"/>
      <w:numFmt w:val="bullet"/>
      <w:lvlText w:val=""/>
      <w:lvlJc w:val="left"/>
      <w:pPr>
        <w:ind w:left="68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63"/>
    <w:rsid w:val="00093448"/>
    <w:rsid w:val="006C5263"/>
    <w:rsid w:val="00E2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304"/>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3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304"/>
    <w:pPr>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z095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7972</Words>
  <Characters>45443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2025-09-22T12:59:00Z</dcterms:created>
  <dcterms:modified xsi:type="dcterms:W3CDTF">2025-09-22T12:59:00Z</dcterms:modified>
</cp:coreProperties>
</file>