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DD" w:rsidRPr="001B37DD" w:rsidRDefault="001B37DD" w:rsidP="001B37D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t>КОПІЯ</w:t>
      </w:r>
    </w:p>
    <w:p w:rsidR="007936AB" w:rsidRPr="001B37DD" w:rsidRDefault="007936AB" w:rsidP="001B37D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6AB" w:rsidRPr="001B37DD" w:rsidRDefault="007936AB" w:rsidP="001B37D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7D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E17E691" wp14:editId="55F542A8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0" t="0" r="9525" b="3810"/>
            <wp:wrapTight wrapText="left">
              <wp:wrapPolygon edited="0">
                <wp:start x="0" y="0"/>
                <wp:lineTo x="0" y="21103"/>
                <wp:lineTo x="21402" y="2110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6AB" w:rsidRPr="001B37DD" w:rsidRDefault="007936AB" w:rsidP="001B37D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6AB" w:rsidRPr="001B37DD" w:rsidRDefault="007936AB" w:rsidP="001B37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7936AB" w:rsidRPr="001B37DD" w:rsidRDefault="007936AB" w:rsidP="001B37D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7936AB" w:rsidRPr="001B37DD" w:rsidRDefault="007936AB" w:rsidP="001B37D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7936AB" w:rsidRPr="001B37DD" w:rsidRDefault="007936AB" w:rsidP="001B37D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7936AB" w:rsidRPr="001B37DD" w:rsidRDefault="007936AB" w:rsidP="001B37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37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67 сесія восьмого скликання</w:t>
      </w:r>
    </w:p>
    <w:p w:rsidR="007936AB" w:rsidRPr="001B37DD" w:rsidRDefault="007936AB" w:rsidP="001B37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6AB" w:rsidRPr="001B37DD" w:rsidRDefault="007936AB" w:rsidP="001B37D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7936AB" w:rsidRPr="001B37DD" w:rsidRDefault="007936AB" w:rsidP="001B37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6AB" w:rsidRPr="001B37DD" w:rsidRDefault="007936AB" w:rsidP="001B37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11 лютого 2025 року  </w:t>
      </w:r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№977</w:t>
      </w:r>
    </w:p>
    <w:p w:rsidR="007936AB" w:rsidRPr="001B37DD" w:rsidRDefault="007936AB" w:rsidP="001B37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7936AB" w:rsidRPr="001B37DD" w:rsidRDefault="007936AB" w:rsidP="001B37DD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:rsidR="003627CB" w:rsidRPr="001B37DD" w:rsidRDefault="003627CB" w:rsidP="001B37D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3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Про внесення змін в рішення </w:t>
      </w:r>
      <w:r w:rsidR="00D76949" w:rsidRPr="001B3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Рахівської </w:t>
      </w:r>
      <w:r w:rsidRPr="001B3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міської ради</w:t>
      </w:r>
    </w:p>
    <w:p w:rsidR="003627CB" w:rsidRPr="001B37DD" w:rsidRDefault="003627CB" w:rsidP="001B37D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B3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від </w:t>
      </w:r>
      <w:r w:rsidR="009745FA" w:rsidRPr="001B3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16.02</w:t>
      </w:r>
      <w:r w:rsidRPr="001B3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.202</w:t>
      </w:r>
      <w:r w:rsidR="009745FA" w:rsidRPr="001B3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</w:t>
      </w:r>
      <w:r w:rsidRPr="001B3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р.  №</w:t>
      </w:r>
      <w:r w:rsidR="009745FA" w:rsidRPr="001B3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364</w:t>
      </w:r>
      <w:r w:rsidRPr="001B3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«Про затвердження Програми </w:t>
      </w:r>
    </w:p>
    <w:p w:rsidR="003627CB" w:rsidRPr="001B37DD" w:rsidRDefault="003627CB" w:rsidP="001B37DD">
      <w:pPr>
        <w:suppressAutoHyphens/>
        <w:spacing w:after="0" w:line="240" w:lineRule="auto"/>
        <w:rPr>
          <w:rFonts w:ascii="Times New Roman" w:eastAsia="Arial,Bold" w:hAnsi="Times New Roman" w:cs="Times New Roman"/>
          <w:color w:val="000000" w:themeColor="text1"/>
          <w:sz w:val="28"/>
          <w:szCs w:val="28"/>
          <w:lang w:eastAsia="ar-SA"/>
        </w:rPr>
      </w:pPr>
      <w:r w:rsidRPr="001B37DD">
        <w:rPr>
          <w:rFonts w:ascii="Times New Roman" w:eastAsia="Arial,Bold" w:hAnsi="Times New Roman" w:cs="Times New Roman"/>
          <w:color w:val="000000" w:themeColor="text1"/>
          <w:sz w:val="28"/>
          <w:szCs w:val="28"/>
          <w:lang w:eastAsia="ar-SA"/>
        </w:rPr>
        <w:t xml:space="preserve">організації та забезпечення територіальної оборони, </w:t>
      </w:r>
    </w:p>
    <w:p w:rsidR="003627CB" w:rsidRPr="001B37DD" w:rsidRDefault="003627CB" w:rsidP="001B37DD">
      <w:pPr>
        <w:suppressAutoHyphens/>
        <w:spacing w:after="0" w:line="240" w:lineRule="auto"/>
        <w:rPr>
          <w:rFonts w:ascii="Times New Roman" w:eastAsia="Arial,Bold" w:hAnsi="Times New Roman" w:cs="Times New Roman"/>
          <w:color w:val="000000" w:themeColor="text1"/>
          <w:sz w:val="28"/>
          <w:szCs w:val="28"/>
          <w:lang w:eastAsia="ar-SA"/>
        </w:rPr>
      </w:pPr>
      <w:r w:rsidRPr="001B37DD">
        <w:rPr>
          <w:rFonts w:ascii="Times New Roman" w:eastAsia="Arial,Bold" w:hAnsi="Times New Roman" w:cs="Times New Roman"/>
          <w:color w:val="000000" w:themeColor="text1"/>
          <w:sz w:val="28"/>
          <w:szCs w:val="28"/>
          <w:lang w:eastAsia="ar-SA"/>
        </w:rPr>
        <w:t xml:space="preserve">призову на строкову військову службу та </w:t>
      </w:r>
      <w:proofErr w:type="spellStart"/>
      <w:r w:rsidRPr="001B37DD">
        <w:rPr>
          <w:rFonts w:ascii="Times New Roman" w:eastAsia="Arial,Bold" w:hAnsi="Times New Roman" w:cs="Times New Roman"/>
          <w:color w:val="000000" w:themeColor="text1"/>
          <w:sz w:val="28"/>
          <w:szCs w:val="28"/>
          <w:lang w:eastAsia="ar-SA"/>
        </w:rPr>
        <w:t>військово-</w:t>
      </w:r>
      <w:proofErr w:type="spellEnd"/>
    </w:p>
    <w:p w:rsidR="003627CB" w:rsidRPr="001B37DD" w:rsidRDefault="003627CB" w:rsidP="001B37DD">
      <w:pPr>
        <w:suppressAutoHyphens/>
        <w:spacing w:after="0" w:line="240" w:lineRule="auto"/>
        <w:rPr>
          <w:rFonts w:ascii="Times New Roman" w:eastAsia="Arial,Bold" w:hAnsi="Times New Roman" w:cs="Times New Roman"/>
          <w:color w:val="000000" w:themeColor="text1"/>
          <w:sz w:val="28"/>
          <w:szCs w:val="28"/>
          <w:lang w:eastAsia="ar-SA"/>
        </w:rPr>
      </w:pPr>
      <w:r w:rsidRPr="001B37DD">
        <w:rPr>
          <w:rFonts w:ascii="Times New Roman" w:eastAsia="Arial,Bold" w:hAnsi="Times New Roman" w:cs="Times New Roman"/>
          <w:color w:val="000000" w:themeColor="text1"/>
          <w:sz w:val="28"/>
          <w:szCs w:val="28"/>
          <w:lang w:eastAsia="ar-SA"/>
        </w:rPr>
        <w:t xml:space="preserve">патріотичного виховання населення Рахівської міської </w:t>
      </w:r>
    </w:p>
    <w:p w:rsidR="00FE7816" w:rsidRPr="001B37DD" w:rsidRDefault="003627CB" w:rsidP="001B37DD">
      <w:pPr>
        <w:suppressAutoHyphens/>
        <w:spacing w:after="0" w:line="240" w:lineRule="auto"/>
        <w:rPr>
          <w:rFonts w:ascii="Times New Roman" w:eastAsia="Arial,Bold" w:hAnsi="Times New Roman" w:cs="Times New Roman"/>
          <w:color w:val="000000" w:themeColor="text1"/>
          <w:sz w:val="28"/>
          <w:szCs w:val="28"/>
          <w:lang w:eastAsia="ar-SA"/>
        </w:rPr>
      </w:pPr>
      <w:r w:rsidRPr="001B37DD">
        <w:rPr>
          <w:rFonts w:ascii="Times New Roman" w:eastAsia="Arial,Bold" w:hAnsi="Times New Roman" w:cs="Times New Roman"/>
          <w:color w:val="000000" w:themeColor="text1"/>
          <w:sz w:val="28"/>
          <w:szCs w:val="28"/>
          <w:lang w:eastAsia="ar-SA"/>
        </w:rPr>
        <w:t xml:space="preserve">територіальної громади на 2022 – 2025 роки» (із змінами </w:t>
      </w:r>
    </w:p>
    <w:p w:rsidR="003627CB" w:rsidRPr="001B37DD" w:rsidRDefault="003627CB" w:rsidP="001B37DD">
      <w:pPr>
        <w:suppressAutoHyphens/>
        <w:spacing w:after="0" w:line="240" w:lineRule="auto"/>
        <w:rPr>
          <w:rFonts w:ascii="Times New Roman" w:eastAsia="Arial,Bold" w:hAnsi="Times New Roman" w:cs="Times New Roman"/>
          <w:color w:val="000000" w:themeColor="text1"/>
          <w:sz w:val="28"/>
          <w:szCs w:val="28"/>
          <w:lang w:eastAsia="ar-SA"/>
        </w:rPr>
      </w:pPr>
      <w:r w:rsidRPr="001B37DD">
        <w:rPr>
          <w:rFonts w:ascii="Times New Roman" w:eastAsia="Arial,Bold" w:hAnsi="Times New Roman" w:cs="Times New Roman"/>
          <w:color w:val="000000" w:themeColor="text1"/>
          <w:sz w:val="28"/>
          <w:szCs w:val="28"/>
          <w:lang w:eastAsia="ar-SA"/>
        </w:rPr>
        <w:t>від</w:t>
      </w:r>
      <w:r w:rsidR="005E3A5C">
        <w:rPr>
          <w:rFonts w:ascii="Times New Roman" w:eastAsia="Arial,Bold" w:hAnsi="Times New Roman" w:cs="Times New Roman"/>
          <w:color w:val="000000" w:themeColor="text1"/>
          <w:sz w:val="28"/>
          <w:szCs w:val="28"/>
          <w:lang w:eastAsia="ar-SA"/>
        </w:rPr>
        <w:t xml:space="preserve"> 14.11.2022р., 22.12.2022 р., 15.11.2023 р.</w:t>
      </w:r>
      <w:bookmarkStart w:id="0" w:name="_GoBack"/>
      <w:bookmarkEnd w:id="0"/>
      <w:r w:rsidRPr="001B37DD">
        <w:rPr>
          <w:rFonts w:ascii="Times New Roman" w:eastAsia="Arial,Bold" w:hAnsi="Times New Roman" w:cs="Times New Roman"/>
          <w:color w:val="000000" w:themeColor="text1"/>
          <w:sz w:val="28"/>
          <w:szCs w:val="28"/>
          <w:lang w:eastAsia="ar-SA"/>
        </w:rPr>
        <w:t>)</w:t>
      </w:r>
    </w:p>
    <w:p w:rsidR="003627CB" w:rsidRPr="001B37DD" w:rsidRDefault="003627CB" w:rsidP="001B37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3627CB" w:rsidRPr="001B37DD" w:rsidRDefault="003627CB" w:rsidP="001B37D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B3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Відповідно до ст. 26 Закону України "Про місцеве самоврядування в Україні", </w:t>
      </w:r>
      <w:r w:rsidRPr="001B3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Рахівська міська рада</w:t>
      </w:r>
    </w:p>
    <w:p w:rsidR="000D1E27" w:rsidRPr="001B37DD" w:rsidRDefault="000D1E27" w:rsidP="001B37D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3627CB" w:rsidRPr="001B37DD" w:rsidRDefault="003627CB" w:rsidP="001B37DD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B3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И Р І Ш И Л А:</w:t>
      </w:r>
    </w:p>
    <w:p w:rsidR="003627CB" w:rsidRPr="001B37DD" w:rsidRDefault="003627CB" w:rsidP="001B37DD">
      <w:pPr>
        <w:suppressAutoHyphens/>
        <w:spacing w:after="0" w:line="240" w:lineRule="auto"/>
        <w:ind w:firstLine="708"/>
        <w:jc w:val="both"/>
        <w:rPr>
          <w:rFonts w:ascii="Times New Roman" w:eastAsia="Arial,Bold" w:hAnsi="Times New Roman" w:cs="Times New Roman"/>
          <w:color w:val="000000" w:themeColor="text1"/>
          <w:sz w:val="28"/>
          <w:szCs w:val="28"/>
          <w:lang w:eastAsia="ar-SA"/>
        </w:rPr>
      </w:pPr>
      <w:r w:rsidRPr="001B3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1.Внести зміни в рішення Рахівської міської ради </w:t>
      </w:r>
      <w:r w:rsidRPr="001B3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від 1</w:t>
      </w:r>
      <w:r w:rsidR="009745FA" w:rsidRPr="001B3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6.02</w:t>
      </w:r>
      <w:r w:rsidRPr="001B3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.202</w:t>
      </w:r>
      <w:r w:rsidR="009745FA" w:rsidRPr="001B3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</w:t>
      </w:r>
      <w:r w:rsidRPr="001B3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р.  №</w:t>
      </w:r>
      <w:r w:rsidR="009745FA" w:rsidRPr="001B3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364</w:t>
      </w:r>
      <w:r w:rsidRPr="001B3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«Про затвердження Програми </w:t>
      </w:r>
      <w:r w:rsidRPr="001B37DD">
        <w:rPr>
          <w:rFonts w:ascii="Times New Roman" w:eastAsia="Arial,Bold" w:hAnsi="Times New Roman" w:cs="Times New Roman"/>
          <w:color w:val="000000" w:themeColor="text1"/>
          <w:sz w:val="28"/>
          <w:szCs w:val="28"/>
          <w:lang w:eastAsia="ar-SA"/>
        </w:rPr>
        <w:t>організації та забезпечення територіальної оборони, призову на строкову військову службу та військово-патріотичного виховання населення Рахівської міської територіальної громади на 2022 – 2025 роки», а саме:</w:t>
      </w:r>
    </w:p>
    <w:p w:rsidR="003627CB" w:rsidRPr="001B37DD" w:rsidRDefault="003627CB" w:rsidP="001B37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B37DD">
        <w:rPr>
          <w:rFonts w:ascii="Times New Roman" w:eastAsia="Arial,Bold" w:hAnsi="Times New Roman" w:cs="Times New Roman"/>
          <w:color w:val="000000" w:themeColor="text1"/>
          <w:sz w:val="28"/>
          <w:szCs w:val="28"/>
          <w:lang w:eastAsia="ar-SA"/>
        </w:rPr>
        <w:t xml:space="preserve"> - додаток 3 до Програми «Завдання і заходи з виконання Програми організації та забезпечення територіальної оборони, призову на строкову військову службу та військово-патріотичного виховання населення Рахівської міської територіальної громади на 2022-2025 роки» викласти в наступній редакції, згідно додатку.</w:t>
      </w:r>
    </w:p>
    <w:p w:rsidR="003627CB" w:rsidRPr="001B37DD" w:rsidRDefault="003627CB" w:rsidP="001B37D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37DD">
        <w:rPr>
          <w:rFonts w:ascii="Times New Roman" w:eastAsia="Arial,Bold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B37DD">
        <w:rPr>
          <w:rFonts w:ascii="Times New Roman" w:eastAsia="Arial,Bold" w:hAnsi="Times New Roman" w:cs="Times New Roman"/>
          <w:color w:val="000000" w:themeColor="text1"/>
          <w:sz w:val="28"/>
          <w:szCs w:val="28"/>
          <w:lang w:eastAsia="ru-RU"/>
        </w:rPr>
        <w:tab/>
        <w:t>2.Контроль за виконанням Програми покласти на постійну комісії з соціально-економічного, культурного розвитку, освіти, охорони здоров’я і спорту, соціального захисту населення, депутатської етики та регламенту.</w:t>
      </w:r>
    </w:p>
    <w:p w:rsidR="003627CB" w:rsidRPr="001B37DD" w:rsidRDefault="003627CB" w:rsidP="001B37D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3627CB" w:rsidRPr="001B37DD" w:rsidRDefault="003627CB" w:rsidP="001B37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3627CB" w:rsidRPr="001B37DD" w:rsidRDefault="003627CB" w:rsidP="001B37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Євген МОЛНАР</w:t>
      </w:r>
    </w:p>
    <w:p w:rsidR="003627CB" w:rsidRPr="001B37DD" w:rsidRDefault="003627CB" w:rsidP="001B37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3C4E" w:rsidRPr="001B37DD" w:rsidRDefault="001B37DD" w:rsidP="001B37D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sectPr w:rsidR="00043C4E" w:rsidRPr="001B37DD" w:rsidSect="007E72B6">
          <w:pgSz w:w="11906" w:h="16838"/>
          <w:pgMar w:top="851" w:right="851" w:bottom="1134" w:left="1418" w:header="709" w:footer="709" w:gutter="0"/>
          <w:cols w:space="720"/>
        </w:sectPr>
      </w:pPr>
      <w:r w:rsidRPr="001B3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Згідно з оригіналом:</w:t>
      </w:r>
    </w:p>
    <w:p w:rsidR="00043C4E" w:rsidRPr="001B37DD" w:rsidRDefault="00043C4E" w:rsidP="001B37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1B37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lastRenderedPageBreak/>
        <w:t xml:space="preserve">Додаток 3 </w:t>
      </w:r>
    </w:p>
    <w:p w:rsidR="00043C4E" w:rsidRPr="001B37DD" w:rsidRDefault="00043C4E" w:rsidP="001B37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1B37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до Програми</w:t>
      </w:r>
    </w:p>
    <w:p w:rsidR="00043C4E" w:rsidRPr="001B37DD" w:rsidRDefault="00043C4E" w:rsidP="001B37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043C4E" w:rsidRPr="001B37DD" w:rsidRDefault="00043C4E" w:rsidP="001B37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1B37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ЗАВДАННЯ І ЗАХОДИ</w:t>
      </w:r>
    </w:p>
    <w:p w:rsidR="00043C4E" w:rsidRPr="001B37DD" w:rsidRDefault="00043C4E" w:rsidP="001B37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1B37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з виконання  Програми організації та забезпечення територіальної оборони, призову на строкову військову службу  та військово-патріотичного виховання населення Рахівської міської територіальної громади на </w:t>
      </w:r>
    </w:p>
    <w:p w:rsidR="00043C4E" w:rsidRPr="001B37DD" w:rsidRDefault="00043C4E" w:rsidP="001B37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B37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2022 – 2025 роки</w:t>
      </w:r>
    </w:p>
    <w:tbl>
      <w:tblPr>
        <w:tblpPr w:leftFromText="180" w:rightFromText="180" w:bottomFromText="20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2126"/>
        <w:gridCol w:w="1134"/>
        <w:gridCol w:w="1837"/>
        <w:gridCol w:w="7"/>
        <w:gridCol w:w="1275"/>
        <w:gridCol w:w="1021"/>
        <w:gridCol w:w="1020"/>
        <w:gridCol w:w="1021"/>
        <w:gridCol w:w="1021"/>
        <w:gridCol w:w="2548"/>
      </w:tblGrid>
      <w:tr w:rsidR="00043C4E" w:rsidRPr="001B37DD" w:rsidTr="005742C5">
        <w:trPr>
          <w:trHeight w:val="11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 напряму діяльності</w:t>
            </w:r>
          </w:p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(пріоритетні завдання)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Строки </w:t>
            </w:r>
            <w:proofErr w:type="spellStart"/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викона-ння</w:t>
            </w:r>
            <w:proofErr w:type="spellEnd"/>
          </w:p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заходу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Виконавець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Джерело</w:t>
            </w:r>
          </w:p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фінансу-вання</w:t>
            </w:r>
            <w:proofErr w:type="spellEnd"/>
          </w:p>
        </w:tc>
        <w:tc>
          <w:tcPr>
            <w:tcW w:w="4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Обсяги фінансування, </w:t>
            </w:r>
          </w:p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тис. </w:t>
            </w:r>
            <w:proofErr w:type="spellStart"/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Очікуваний результат та результативні показники виконання завдань</w:t>
            </w:r>
          </w:p>
        </w:tc>
      </w:tr>
      <w:tr w:rsidR="00043C4E" w:rsidRPr="001B37DD" w:rsidTr="005742C5">
        <w:trPr>
          <w:trHeight w:val="55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4E" w:rsidRPr="001B37DD" w:rsidRDefault="00043C4E" w:rsidP="001B3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4E" w:rsidRPr="001B37DD" w:rsidRDefault="00043C4E" w:rsidP="001B3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4E" w:rsidRPr="001B37DD" w:rsidRDefault="00043C4E" w:rsidP="001B3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4E" w:rsidRPr="001B37DD" w:rsidRDefault="00043C4E" w:rsidP="001B3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4E" w:rsidRPr="001B37DD" w:rsidRDefault="00043C4E" w:rsidP="001B3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4E" w:rsidRPr="001B37DD" w:rsidRDefault="00043C4E" w:rsidP="001B3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2022 </w:t>
            </w:r>
          </w:p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рік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 рік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2024 рік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 рік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43C4E" w:rsidRPr="001B37DD" w:rsidTr="005742C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Матеріально-технічне забезпечення заходів мобілізаційної підготовки,мобілізації людських та транспортних ресурсів;</w:t>
            </w:r>
          </w:p>
          <w:p w:rsidR="00043C4E" w:rsidRPr="001B37DD" w:rsidRDefault="00043C4E" w:rsidP="001B3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організація територіальної оборони та забезпечення </w:t>
            </w:r>
            <w:proofErr w:type="spellStart"/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підго-товки</w:t>
            </w:r>
            <w:proofErr w:type="spellEnd"/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її </w:t>
            </w:r>
            <w:proofErr w:type="spellStart"/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під-розділів</w:t>
            </w:r>
            <w:proofErr w:type="spellEnd"/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призову громадян України на строкову </w:t>
            </w: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військову службу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Закупівля майна, продовольства, будівельних матеріалів, меблів, електрообладнання,електроприладів, побутових приладів, спеціального приладдя (пральні машини, мікрохвильові печі, плитки, кавоварок, теплові зорів, прожекторів</w:t>
            </w:r>
            <w:r w:rsidR="008340A3" w:rsidRPr="001B37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r w:rsidR="009019CB" w:rsidRPr="001B37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оборонних металевих конструкцій «їжаків» всіх типів</w:t>
            </w: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 тощо) санітарно-технічного </w:t>
            </w: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приладдя, інструментів, запасних частин до техніки,пально-мастильних матеріалів, засобів зв’язку, комп’ютерної та оргтехніки (комп’ютери, ноутбуки, принтери) і її складових, телевізорів  програмного забезпечення, канцелярських товарів та офісного устаткування, виконання робіт з  надання послуг, транспортних послуг (у тому числі з перевезення особового складу) тощо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2022 – 2025 роки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Закарпатський обласний територіальний центр комплектування та соціальної підтримки,</w:t>
            </w:r>
          </w:p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Рахівський районний територіальний центр комплектування та соціальної підтримки, Рахівська міська рада, військова частина А7029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Бюджет Рахівської міської територіальної громади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200,00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1000,00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200,00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200,00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Виконання заходів з мобілізаційної підготовки, мобілізації людських та транспортних ресурсів, забезпечення функціонування територіальної оборони, комплектування та навчання особового складу підрозділів територіальної оборони; </w:t>
            </w:r>
          </w:p>
          <w:p w:rsidR="00043C4E" w:rsidRPr="001B37DD" w:rsidRDefault="00043C4E" w:rsidP="001B3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здійснення призову громадян України на строкову військову службу</w:t>
            </w:r>
          </w:p>
        </w:tc>
      </w:tr>
      <w:tr w:rsidR="00043C4E" w:rsidRPr="001B37DD" w:rsidTr="005742C5">
        <w:trPr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Матеріально технічне забезпечення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Придбання матеріалів та послуг  (виконання робіт) для </w:t>
            </w:r>
            <w:r w:rsidRPr="001B37DD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облаштування, обладнання будівлі, поточного та капітального ремонтів </w:t>
            </w:r>
            <w:r w:rsidRPr="001B37DD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bdr w:val="none" w:sz="0" w:space="0" w:color="auto" w:frame="1"/>
              </w:rPr>
              <w:lastRenderedPageBreak/>
              <w:t xml:space="preserve">приміщень, </w:t>
            </w: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системи опалення </w:t>
            </w:r>
            <w:r w:rsidRPr="001B37DD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РТЦК та СП. Придбання меблів та майна КЕС, систем для здійснення охорони та протипожежного захисту об’єктів, </w:t>
            </w:r>
            <w:proofErr w:type="spellStart"/>
            <w:r w:rsidRPr="001B37DD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bdr w:val="none" w:sz="0" w:space="0" w:color="auto" w:frame="1"/>
              </w:rPr>
              <w:t>примі-щень</w:t>
            </w:r>
            <w:proofErr w:type="spellEnd"/>
            <w:r w:rsidRPr="001B37DD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bdr w:val="none" w:sz="0" w:space="0" w:color="auto" w:frame="1"/>
              </w:rPr>
              <w:t>, будівель. Оплата комунальних послуг (вивезення твердих побутових відходів, оплата послуг асенізаційної машини з очищення систем каналізації). Оплата енергоносіїв (електроенергія, дрова брикети, вугілля)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2022 – 2025 роки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Закарпатський обласний територіальний центр комплектування та соціальної підтримки</w:t>
            </w:r>
          </w:p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Рахівський </w:t>
            </w: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районний територіальний центр комплектування та соціальної підтримки, Рахівська міська рада,</w:t>
            </w:r>
          </w:p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військова частина А7029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Бюджет Рахівської міської територіальної громади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200,00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200,00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200,00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200,00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Приведення матеріально-технічної бази, будівлі, приміщень РТЦК та СП, ОТЦК та СП, в/чА7029  у відповідність до вимог чинного </w:t>
            </w:r>
            <w:r w:rsidRPr="001B3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законодавства. Забезпечення виконання особовим складом завдань за призначенням</w:t>
            </w:r>
          </w:p>
        </w:tc>
      </w:tr>
      <w:tr w:rsidR="00043C4E" w:rsidRPr="001B37DD" w:rsidTr="005742C5">
        <w:trPr>
          <w:trHeight w:val="7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3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Забезпечення заходів з:</w:t>
            </w:r>
          </w:p>
          <w:p w:rsidR="00043C4E" w:rsidRPr="001B37DD" w:rsidRDefault="00043C4E" w:rsidP="001B3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військово-патріотичного виховання населення та призовної молоді, </w:t>
            </w: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пропаганда та </w:t>
            </w: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рекламування військової служби,</w:t>
            </w: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підвищення її престижу, налагодження ефективного цивільно-військового співробітництва;</w:t>
            </w:r>
          </w:p>
          <w:p w:rsidR="00043C4E" w:rsidRPr="001B37DD" w:rsidRDefault="00043C4E" w:rsidP="001B3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вшанування пам’яті загиблих воїнів за незалежність України, відзначення державних свят та урочистих дат і подій обласного значення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Виготовлення рекламної продукції щодо проходження військової служби, інформаційних стендів, буклетів та інше, оплата послуг з розміщення </w:t>
            </w: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рекламної продукції, забезпечення проведення виставок озброєння та техніки, днів відкритих дверей військових частин, придбання продукції (у тому числі квіткової) для забезпечення заходів із вшанування пам’яті загиблих воїнів та з нагоди відзначення державних свят та урочистих дат. Витрати на поховання учасників бойових дій, інвалідів ЗСУ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2022 – 2025 роки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Закарпатський обласний територіальний центр комплектування та соціальної підтримки</w:t>
            </w:r>
          </w:p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Рахівський районний </w:t>
            </w: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територіальний центр комплектування та соціальної підтримки, Рахівська міська рада,  військова частина А7029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Бюджет Рахівської міської територіальної громади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Вшанування пам’яті загиблих військовослужбовців, які проживали та поховані на території Закарпатської області, збереження та увіковічення моральних цінностей, </w:t>
            </w: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героїчного подвигу </w:t>
            </w:r>
            <w:proofErr w:type="spellStart"/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військово-службовців</w:t>
            </w:r>
            <w:proofErr w:type="spellEnd"/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захисників незалежної України.</w:t>
            </w:r>
          </w:p>
          <w:p w:rsidR="00043C4E" w:rsidRPr="001B37DD" w:rsidRDefault="00043C4E" w:rsidP="001B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Підвищення мотивації серед громадян України, які мешкають на території області, щодо проходження ними військової служби у Збройних Силах України, підвищення рівня патріотизму</w:t>
            </w:r>
          </w:p>
        </w:tc>
      </w:tr>
      <w:tr w:rsidR="00043C4E" w:rsidRPr="001B37DD" w:rsidTr="005742C5">
        <w:trPr>
          <w:trHeight w:val="7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Матеріально – технічне забезпечення транспортними засобами військових частин Збройних сил України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Придбання транспортних засобів, а саме: - вантажних автомобілів підвищеної прохідності, </w:t>
            </w:r>
            <w:proofErr w:type="spellStart"/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сідлових</w:t>
            </w:r>
            <w:proofErr w:type="spellEnd"/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 тягачів, легкових автомобілів підвищеної </w:t>
            </w: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прохідності, бульдозерів, екскаваторів, кранів, причепів 2-х вісних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2022 – 2025 роки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Закарпатський обласний територіальний центр комплектування та соціальної підтримки</w:t>
            </w:r>
          </w:p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Рахівський районний територіальний </w:t>
            </w: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центр комплектування та соціальної підтримки, Рахівська міська рада,  військова частина А7029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Бюджет Рахівської міської територіальної громади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3000,0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Забезпечення необхідною транспортною технікою Збройні сили України</w:t>
            </w:r>
          </w:p>
        </w:tc>
      </w:tr>
      <w:tr w:rsidR="00043C4E" w:rsidRPr="001B37DD" w:rsidTr="005742C5">
        <w:trPr>
          <w:trHeight w:val="7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Матеріальне забезпечення військовослужбовців форменим одягом та взуттям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Придбання форменого зимового одягу та взуття для особового складу 69 батальйону 101 обр </w:t>
            </w:r>
            <w:proofErr w:type="spellStart"/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ТрО</w:t>
            </w:r>
            <w:proofErr w:type="spellEnd"/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 Закарпатської області військова частина А7081 (шапки, куртки, штани, рукавиці, шкарпетки, </w:t>
            </w:r>
            <w:proofErr w:type="spellStart"/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термобілизна</w:t>
            </w:r>
            <w:proofErr w:type="spellEnd"/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, черевики, бахали, захисний та маскувальний одяг та інше)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Закарпатський обласний територіальний центр комплектування та соціальної підтримки</w:t>
            </w:r>
          </w:p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Рахівський районний територіальний центр комплектування та соціальної підтримки, Рахівська міська рада,  військова частина А7029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Бюджет Рахівської міської територіальної громади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4E" w:rsidRPr="001B37DD" w:rsidRDefault="00043C4E" w:rsidP="001B37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4E" w:rsidRPr="001B37DD" w:rsidRDefault="00043C4E" w:rsidP="001B37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4E" w:rsidRPr="001B37DD" w:rsidRDefault="00043C4E" w:rsidP="001B37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Забезпечення необхідним одягом та взуттям військовослужбовців військової частини А7081</w:t>
            </w:r>
          </w:p>
        </w:tc>
      </w:tr>
      <w:tr w:rsidR="00043C4E" w:rsidRPr="001B37DD" w:rsidTr="005742C5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E" w:rsidRPr="001B37DD" w:rsidRDefault="00043C4E" w:rsidP="001B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</w:rPr>
              <w:t>РАЗОМ за Програмою: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4E" w:rsidRPr="001B37DD" w:rsidRDefault="00202531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="00043C4E" w:rsidRPr="001B3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instrText xml:space="preserve"> =SUM(ABOVE) </w:instrText>
            </w:r>
            <w:r w:rsidRPr="001B3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="00043C4E" w:rsidRPr="001B37D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10500</w:t>
            </w:r>
            <w:r w:rsidRPr="001B3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="00043C4E" w:rsidRPr="001B3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3500,0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3500,0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B3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3500,0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4E" w:rsidRPr="001B37DD" w:rsidRDefault="00043C4E" w:rsidP="001B37D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43C4E" w:rsidRPr="001B37DD" w:rsidTr="005742C5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4E" w:rsidRPr="001B37DD" w:rsidRDefault="00043C4E" w:rsidP="001B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4E" w:rsidRPr="001B37DD" w:rsidRDefault="00043C4E" w:rsidP="001B3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4E" w:rsidRPr="001B37DD" w:rsidRDefault="00043C4E" w:rsidP="001B37D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043C4E" w:rsidRPr="001B37DD" w:rsidRDefault="00043C4E" w:rsidP="001B37D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:rsidR="00043C4E" w:rsidRPr="001B37DD" w:rsidRDefault="00043C4E" w:rsidP="001B37D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043C4E" w:rsidRPr="001B37DD" w:rsidRDefault="00043C4E" w:rsidP="001B37D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7DD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                                                           Євген МОЛНАР</w:t>
      </w:r>
    </w:p>
    <w:p w:rsidR="003627CB" w:rsidRPr="001B37DD" w:rsidRDefault="003627CB" w:rsidP="001B37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43C4E" w:rsidRPr="001B37DD" w:rsidRDefault="00043C4E" w:rsidP="001B37DD">
      <w:pPr>
        <w:spacing w:after="0" w:line="240" w:lineRule="auto"/>
        <w:rPr>
          <w:rFonts w:ascii="Times New Roman" w:hAnsi="Times New Roman" w:cs="Times New Roman"/>
        </w:rPr>
        <w:sectPr w:rsidR="00043C4E" w:rsidRPr="001B37DD" w:rsidSect="00043C4E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36043E" w:rsidRPr="001B37DD" w:rsidRDefault="0036043E" w:rsidP="001B37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36043E" w:rsidRPr="001B37DD" w:rsidRDefault="000D1E27" w:rsidP="001B37D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1B37D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36043E" w:rsidRPr="001B37DD" w:rsidRDefault="0036043E" w:rsidP="001B37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B37D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br w:type="textWrapping" w:clear="all"/>
      </w:r>
    </w:p>
    <w:p w:rsidR="003627CB" w:rsidRPr="001B37DD" w:rsidRDefault="003627CB" w:rsidP="001B37DD">
      <w:pPr>
        <w:spacing w:after="0" w:line="240" w:lineRule="auto"/>
        <w:rPr>
          <w:rFonts w:ascii="Times New Roman" w:hAnsi="Times New Roman" w:cs="Times New Roman"/>
        </w:rPr>
      </w:pPr>
    </w:p>
    <w:sectPr w:rsidR="003627CB" w:rsidRPr="001B37DD" w:rsidSect="000D1E27">
      <w:pgSz w:w="11906" w:h="16838"/>
      <w:pgMar w:top="454" w:right="567" w:bottom="397" w:left="158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CB"/>
    <w:rsid w:val="00030C8E"/>
    <w:rsid w:val="00043C4E"/>
    <w:rsid w:val="000D1E27"/>
    <w:rsid w:val="001B37DD"/>
    <w:rsid w:val="00202531"/>
    <w:rsid w:val="0023324C"/>
    <w:rsid w:val="0036043E"/>
    <w:rsid w:val="003627CB"/>
    <w:rsid w:val="004F4D38"/>
    <w:rsid w:val="005E3A5C"/>
    <w:rsid w:val="007936AB"/>
    <w:rsid w:val="007E72B6"/>
    <w:rsid w:val="008340A3"/>
    <w:rsid w:val="008D6D84"/>
    <w:rsid w:val="009019CB"/>
    <w:rsid w:val="009745FA"/>
    <w:rsid w:val="00AC4961"/>
    <w:rsid w:val="00B93482"/>
    <w:rsid w:val="00D46883"/>
    <w:rsid w:val="00D76949"/>
    <w:rsid w:val="00ED351D"/>
    <w:rsid w:val="00F20A34"/>
    <w:rsid w:val="00FE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36043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36043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Основной текст с отступом 3 Знак"/>
    <w:basedOn w:val="a0"/>
    <w:link w:val="3"/>
    <w:semiHidden/>
    <w:rsid w:val="0036043E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4">
    <w:name w:val="Normal (Web)"/>
    <w:basedOn w:val="a"/>
    <w:semiHidden/>
    <w:unhideWhenUsed/>
    <w:rsid w:val="0036043E"/>
    <w:pPr>
      <w:spacing w:before="15" w:after="15" w:line="240" w:lineRule="auto"/>
    </w:pPr>
    <w:rPr>
      <w:rFonts w:ascii="Verdana" w:eastAsia="Times New Roman" w:hAnsi="Verdana" w:cs="Times New Roman"/>
      <w:color w:val="000000"/>
      <w:sz w:val="17"/>
      <w:szCs w:val="17"/>
      <w:lang w:val="ru-RU" w:eastAsia="ru-RU"/>
    </w:rPr>
  </w:style>
  <w:style w:type="paragraph" w:styleId="a5">
    <w:name w:val="Body Text"/>
    <w:basedOn w:val="a"/>
    <w:link w:val="a6"/>
    <w:semiHidden/>
    <w:unhideWhenUsed/>
    <w:rsid w:val="003604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36043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C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4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36043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36043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Основной текст с отступом 3 Знак"/>
    <w:basedOn w:val="a0"/>
    <w:link w:val="3"/>
    <w:semiHidden/>
    <w:rsid w:val="0036043E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4">
    <w:name w:val="Normal (Web)"/>
    <w:basedOn w:val="a"/>
    <w:semiHidden/>
    <w:unhideWhenUsed/>
    <w:rsid w:val="0036043E"/>
    <w:pPr>
      <w:spacing w:before="15" w:after="15" w:line="240" w:lineRule="auto"/>
    </w:pPr>
    <w:rPr>
      <w:rFonts w:ascii="Verdana" w:eastAsia="Times New Roman" w:hAnsi="Verdana" w:cs="Times New Roman"/>
      <w:color w:val="000000"/>
      <w:sz w:val="17"/>
      <w:szCs w:val="17"/>
      <w:lang w:val="ru-RU" w:eastAsia="ru-RU"/>
    </w:rPr>
  </w:style>
  <w:style w:type="paragraph" w:styleId="a5">
    <w:name w:val="Body Text"/>
    <w:basedOn w:val="a"/>
    <w:link w:val="a6"/>
    <w:semiHidden/>
    <w:unhideWhenUsed/>
    <w:rsid w:val="003604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36043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C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4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5097</Words>
  <Characters>2906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2025-02-12T08:07:00Z</cp:lastPrinted>
  <dcterms:created xsi:type="dcterms:W3CDTF">2025-02-05T08:55:00Z</dcterms:created>
  <dcterms:modified xsi:type="dcterms:W3CDTF">2025-02-12T12:28:00Z</dcterms:modified>
</cp:coreProperties>
</file>