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D2" w:rsidRPr="0024799A" w:rsidRDefault="00170806" w:rsidP="006B287F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170806" w:rsidRDefault="00170806" w:rsidP="006B287F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5A76D2" w:rsidRPr="0024799A">
        <w:rPr>
          <w:sz w:val="28"/>
          <w:szCs w:val="28"/>
        </w:rPr>
        <w:t>Наказ</w:t>
      </w:r>
      <w:r>
        <w:rPr>
          <w:sz w:val="28"/>
          <w:szCs w:val="28"/>
        </w:rPr>
        <w:t>у Головного управління</w:t>
      </w:r>
    </w:p>
    <w:p w:rsidR="005A76D2" w:rsidRDefault="005A76D2" w:rsidP="006B287F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24799A">
        <w:rPr>
          <w:sz w:val="28"/>
          <w:szCs w:val="28"/>
        </w:rPr>
        <w:t>Пенсійного фонду України</w:t>
      </w:r>
    </w:p>
    <w:p w:rsidR="00170806" w:rsidRPr="004037C0" w:rsidRDefault="00170806" w:rsidP="006B287F">
      <w:pPr>
        <w:pStyle w:val="Bodytext20"/>
        <w:shd w:val="clear" w:color="auto" w:fill="auto"/>
        <w:ind w:left="5103" w:firstLine="0"/>
        <w:rPr>
          <w:sz w:val="28"/>
          <w:szCs w:val="28"/>
          <w:lang w:val="ru-RU"/>
        </w:rPr>
      </w:pPr>
      <w:r>
        <w:rPr>
          <w:sz w:val="28"/>
          <w:szCs w:val="28"/>
        </w:rPr>
        <w:t>в Закарпатській області</w:t>
      </w:r>
    </w:p>
    <w:p w:rsidR="005A76D2" w:rsidRPr="00274090" w:rsidRDefault="00274090" w:rsidP="00976FD6">
      <w:pPr>
        <w:pStyle w:val="21"/>
        <w:shd w:val="clear" w:color="auto" w:fill="auto"/>
        <w:jc w:val="left"/>
        <w:rPr>
          <w:b w:val="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  <w:r w:rsidRPr="00274090">
        <w:rPr>
          <w:b w:val="0"/>
          <w:sz w:val="28"/>
          <w:szCs w:val="28"/>
          <w:lang w:eastAsia="ru-RU"/>
        </w:rPr>
        <w:t>від 15.05.2024 № 672</w:t>
      </w:r>
    </w:p>
    <w:p w:rsidR="00274090" w:rsidRDefault="00274090" w:rsidP="00976FD6">
      <w:pPr>
        <w:pStyle w:val="21"/>
        <w:shd w:val="clear" w:color="auto" w:fill="auto"/>
        <w:jc w:val="left"/>
      </w:pPr>
      <w:bookmarkStart w:id="0" w:name="_GoBack"/>
      <w:bookmarkEnd w:id="0"/>
    </w:p>
    <w:p w:rsidR="005A76D2" w:rsidRDefault="005A76D2" w:rsidP="005A76D2">
      <w:pPr>
        <w:pStyle w:val="21"/>
        <w:shd w:val="clear" w:color="auto" w:fill="auto"/>
      </w:pPr>
      <w:r>
        <w:t>ТИПОВА ІНФОРМАЦІЙНА КАРТКА</w:t>
      </w:r>
    </w:p>
    <w:p w:rsidR="00FD2502" w:rsidRDefault="00FD2502" w:rsidP="00FD2502">
      <w:pPr>
        <w:autoSpaceDE w:val="0"/>
        <w:autoSpaceDN w:val="0"/>
        <w:adjustRightInd w:val="0"/>
        <w:ind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FD25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адміністративної послуги з призначення пільги </w:t>
      </w:r>
    </w:p>
    <w:p w:rsidR="00FD2502" w:rsidRPr="00FD2502" w:rsidRDefault="00FD2502" w:rsidP="00FD2502">
      <w:pPr>
        <w:autoSpaceDE w:val="0"/>
        <w:autoSpaceDN w:val="0"/>
        <w:adjustRightInd w:val="0"/>
        <w:ind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FD25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на оплату житла, комунальних послу</w:t>
      </w:r>
    </w:p>
    <w:p w:rsidR="004037C0" w:rsidRDefault="004037C0" w:rsidP="005A76D2">
      <w:pPr>
        <w:pStyle w:val="21"/>
        <w:pBdr>
          <w:bottom w:val="single" w:sz="12" w:space="1" w:color="auto"/>
        </w:pBdr>
        <w:shd w:val="clear" w:color="auto" w:fill="auto"/>
      </w:pPr>
    </w:p>
    <w:p w:rsidR="004037C0" w:rsidRPr="004037C0" w:rsidRDefault="004037C0" w:rsidP="00976FD6">
      <w:pPr>
        <w:pStyle w:val="21"/>
        <w:shd w:val="clear" w:color="auto" w:fill="auto"/>
        <w:jc w:val="left"/>
        <w:rPr>
          <w:sz w:val="28"/>
          <w:szCs w:val="28"/>
          <w:u w:val="single"/>
          <w:lang w:bidi="ar-SA"/>
        </w:rPr>
      </w:pPr>
    </w:p>
    <w:p w:rsidR="00872F90" w:rsidRPr="00872F90" w:rsidRDefault="004037C0" w:rsidP="00FD250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val="ru-RU" w:eastAsia="zh-CN" w:bidi="ar-SA"/>
        </w:rPr>
      </w:pPr>
      <w:r w:rsidRPr="004037C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 xml:space="preserve">Головне управління Пенсійного фонду України </w:t>
      </w:r>
    </w:p>
    <w:p w:rsidR="004037C0" w:rsidRDefault="004037C0" w:rsidP="00872F90">
      <w:pPr>
        <w:widowControl/>
        <w:suppressAutoHyphens/>
        <w:spacing w:after="120"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4037C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в Закарпатській області:</w:t>
      </w:r>
    </w:p>
    <w:p w:rsidR="004037C0" w:rsidRDefault="004037C0" w:rsidP="00872F90">
      <w:pPr>
        <w:widowControl/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FD2502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№1 (Берегівський СЦ), Відділ обслуговування</w:t>
      </w:r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громадян №2 (Виноградівський СЦ), Відділ обслуговування громадян №3 (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Іршавський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4 (Мукачівський СЦ), Відділ обслуговування громадян № 5 (Рахівський СЦ), Відділ обслуговування громадян № 6 (Свалявський СЦ,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Воловецький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7 (Хустський СЦ, Тячівський СЦ</w:t>
      </w:r>
      <w:r w:rsidR="00FD2502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Міжгірський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 8 (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Уж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городський</w:t>
      </w:r>
      <w:r w:rsidR="00FD2502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СЦ</w:t>
      </w:r>
      <w:r w:rsidR="00FD2502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, </w:t>
      </w:r>
      <w:proofErr w:type="spellStart"/>
      <w:r w:rsidR="00FD2502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Пе</w:t>
      </w:r>
      <w:proofErr w:type="spellEnd"/>
      <w:r w:rsidR="00FD2502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речинський СЦ, </w:t>
      </w:r>
      <w:proofErr w:type="spellStart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Великоберезнянський</w:t>
      </w:r>
      <w:proofErr w:type="spellEnd"/>
      <w:r w:rsidRPr="004037C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Сектор обслуговування військовослужбовців та деяких інших категорій громадян</w:t>
      </w:r>
    </w:p>
    <w:p w:rsidR="005A76D2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8E14F2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Виконавчі органи сільських, селищних , міських рад територіальних громад Закарпатської області, Центри надання адміністративних послуг Закарпатської області</w:t>
      </w:r>
    </w:p>
    <w:p w:rsidR="0058638D" w:rsidRPr="0058638D" w:rsidRDefault="0058638D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W w:w="4950" w:type="pct"/>
        <w:tblInd w:w="3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2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04"/>
        <w:gridCol w:w="6516"/>
      </w:tblGrid>
      <w:tr w:rsidR="0058638D" w:rsidRPr="0058638D" w:rsidTr="007A4E8A">
        <w:trPr>
          <w:trHeight w:val="52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FD2502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</w:pPr>
            <w:bookmarkStart w:id="1" w:name="n14"/>
            <w:bookmarkEnd w:id="1"/>
            <w:r w:rsidRPr="00FD2502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  <w:t>Інформація про суб’єкт надання адміністративної послуги та/або центр надання адміністративних послуг, виконавчий орган сільської, селищної, міської ради відповідної територіальної громади або військову адміністрацію</w:t>
            </w:r>
          </w:p>
        </w:tc>
      </w:tr>
      <w:tr w:rsidR="0058638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Місцезнаходження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872F90" w:rsidRPr="00555B1A" w:rsidRDefault="00872F90" w:rsidP="00872F90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1 Берегівський СЦ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Берегово, вул. Мукачівська, 11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(03141)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82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2 Виноградівський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Виноградів,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вул.Миру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43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(03143)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3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Іршава,вул. Шевченка, 40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(03144)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98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4 Мукачівський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Мукачево,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Миру, 151 Ж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(03131) 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39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5 Рахівський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Рахів, вул. Миру, 34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(03132)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44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№6 Свалявський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Свалява, пл. Головна, 1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(03133)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№6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Карпатська, 31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(03136)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91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7 Хустський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Хуст,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І.Франка, 149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(03142)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93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 7 Тячівський СЦ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Тячів, вул. Робітнича, 18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(03134)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92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7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Міжгірський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 Міжгір’я,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Шевченка, 56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(03146)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97</w:t>
            </w:r>
          </w:p>
          <w:p w:rsidR="00872F90" w:rsidRPr="00555B1A" w:rsidRDefault="00872F90" w:rsidP="00872F90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8 Ужгородський СЦ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вул. Загорська, 2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(0312) 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02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8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Великоберезнянський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872F90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сел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Великий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Березний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вул. Шевченка, 10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(03135)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90</w:t>
            </w:r>
          </w:p>
          <w:p w:rsidR="00872F90" w:rsidRPr="00555B1A" w:rsidRDefault="00872F90" w:rsidP="00872F90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8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пл. Народна, 6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(03145)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Сектор обслуговування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військовослужбовців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та деяких інших категорій громадян </w:t>
            </w:r>
          </w:p>
          <w:p w:rsidR="00872F90" w:rsidRPr="00555B1A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пл. Народна, 4 </w:t>
            </w:r>
          </w:p>
          <w:p w:rsidR="009712CD" w:rsidRDefault="00872F90" w:rsidP="00872F9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(0312) 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41</w:t>
            </w:r>
          </w:p>
          <w:p w:rsidR="004037C0" w:rsidRPr="00471B55" w:rsidRDefault="004037C0" w:rsidP="004037C0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Виконавчі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органи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сі</w:t>
            </w:r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льських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селищних</w:t>
            </w:r>
            <w:proofErr w:type="spellEnd"/>
            <w:proofErr w:type="gram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,</w:t>
            </w:r>
            <w:proofErr w:type="gramEnd"/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міських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рад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територіальних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громад</w:t>
            </w:r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</w:t>
            </w:r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атської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Центри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надання</w:t>
            </w:r>
            <w:proofErr w:type="spellEnd"/>
          </w:p>
          <w:p w:rsidR="00390766" w:rsidRPr="004037C0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адміні</w:t>
            </w:r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стративних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послуг</w:t>
            </w:r>
            <w:proofErr w:type="spellEnd"/>
            <w:r w:rsidR="00390766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71B55" w:rsidRPr="004037C0" w:rsidRDefault="00390766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471B55"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</w:p>
          <w:p w:rsidR="0058638D" w:rsidRPr="0058638D" w:rsidRDefault="0058638D" w:rsidP="00471B5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bidi="ar-SA"/>
              </w:rPr>
            </w:pPr>
          </w:p>
        </w:tc>
      </w:tr>
      <w:tr w:rsidR="0058638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Інформація щодо режиму роботи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A27F2E" w:rsidRPr="00A27F2E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Графі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</w:t>
            </w:r>
            <w:proofErr w:type="spellEnd"/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: </w:t>
            </w:r>
          </w:p>
          <w:p w:rsidR="00A27F2E" w:rsidRPr="00A27F2E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понеділок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–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четвер</w:t>
            </w:r>
            <w:proofErr w:type="spellEnd"/>
            <w:r w:rsidR="00A27F2E" w:rsidRPr="00A27F2E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 8.00 до 17.00,</w:t>
            </w:r>
            <w:r w:rsidR="001A4FF1" w:rsidRPr="001A4FF1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п'ятниця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з 8.00 до 15.45:</w:t>
            </w:r>
          </w:p>
          <w:p w:rsidR="00FD2502" w:rsidRPr="004037C0" w:rsidRDefault="00FD2502" w:rsidP="00FD2502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1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Берегівський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ВОГ №</w:t>
            </w:r>
            <w:r w:rsidR="0068733E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6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Свалявський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ВОГ №</w:t>
            </w:r>
            <w:r w:rsidR="0068733E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6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Воловецький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Міжгірський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Великоберезнянський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Перечинський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Сектор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обслуговування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військовослужбовців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та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деяких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інших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категорій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громадян</w:t>
            </w:r>
            <w:proofErr w:type="spellEnd"/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A27F2E" w:rsidRPr="0027409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Графі</w:t>
            </w:r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</w:t>
            </w:r>
            <w:proofErr w:type="spellEnd"/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: </w:t>
            </w:r>
          </w:p>
          <w:p w:rsidR="00A27F2E" w:rsidRPr="0027409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понеділок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–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четвер</w:t>
            </w:r>
            <w:proofErr w:type="spellEnd"/>
            <w:r w:rsidR="00A27F2E" w:rsidRPr="0027409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з 8.00 до 18.00, 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п'ятниця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з 8.00 до 16.45: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2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Виноградівський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3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Іршавський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4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5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Рахівський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Хустський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7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Тячівський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 8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Ужгородський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Графік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: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згідно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з режимом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роботи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4037C0" w:rsidRPr="004037C0" w:rsidRDefault="004037C0" w:rsidP="004037C0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суб’єктів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надання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послуг</w:t>
            </w:r>
            <w:proofErr w:type="spellEnd"/>
          </w:p>
          <w:p w:rsidR="0058638D" w:rsidRPr="00471B55" w:rsidRDefault="004037C0" w:rsidP="004037C0">
            <w:pPr>
              <w:widowControl/>
              <w:ind w:left="683" w:right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Виконавчі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органи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сільських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селищних</w:t>
            </w:r>
            <w:proofErr w:type="spellEnd"/>
            <w:proofErr w:type="gram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,</w:t>
            </w:r>
            <w:proofErr w:type="gram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міських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рад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територіальних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громад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Центри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надання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адміністративних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послуг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Pr="004037C0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</w:tc>
      </w:tr>
      <w:tr w:rsidR="005A76D2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45F0C" w:rsidRDefault="0032462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Телефон, </w:t>
            </w:r>
          </w:p>
          <w:p w:rsidR="005A76D2" w:rsidRPr="0032462D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адреса електронної </w:t>
            </w: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 xml:space="preserve">пошти, інформаційної сторінки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вебпорталу</w:t>
            </w:r>
            <w:proofErr w:type="spellEnd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електронних послуг Пенсійного фонду України (далі -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), офіційний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A4FF1" w:rsidRPr="00555B1A" w:rsidRDefault="001A4FF1" w:rsidP="001A4FF1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Телефон: (0312) 61-40-02</w:t>
            </w:r>
          </w:p>
          <w:p w:rsidR="001A4FF1" w:rsidRDefault="001A4FF1" w:rsidP="001A4FF1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E-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mail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hyperlink r:id="rId9" w:history="1">
              <w:r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info@zk.pfu.gov.ua</w:t>
              </w:r>
            </w:hyperlink>
          </w:p>
          <w:p w:rsidR="001A4FF1" w:rsidRPr="00FF5162" w:rsidRDefault="00274090" w:rsidP="001A4FF1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0" w:history="1"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https</w:t>
              </w:r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://</w:t>
              </w:r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www</w:t>
              </w:r>
              <w:proofErr w:type="spellStart"/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.pfu.gov.ua</w:t>
              </w:r>
              <w:proofErr w:type="spellEnd"/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/</w:t>
              </w:r>
              <w:proofErr w:type="spellStart"/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zk</w:t>
              </w:r>
              <w:proofErr w:type="spellEnd"/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/</w:t>
              </w:r>
            </w:hyperlink>
          </w:p>
          <w:p w:rsidR="001A4FF1" w:rsidRPr="00FF5162" w:rsidRDefault="00274090" w:rsidP="001A4FF1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1" w:history="1">
              <w:r w:rsidR="001A4FF1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https://www.portal.pfu.gov.ua</w:t>
              </w:r>
            </w:hyperlink>
          </w:p>
          <w:p w:rsidR="005A76D2" w:rsidRPr="00471B55" w:rsidRDefault="005A76D2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2462D" w:rsidRPr="0058638D" w:rsidTr="0060724F">
        <w:trPr>
          <w:trHeight w:val="46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32462D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324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 акти, якими регламентується надання послуги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Закони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Бюджетний кодекс України (ст. 51, ст. 87);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Кодекс цивільного захисту України (ст. 120);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статус і соціальний захист громадян, які постраждали внаслідок Чорнобильської катастрофи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20–22, 30);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реабілітацію жертв репресій комуністичного тоталітарного режиму 1917–1991 років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6);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соціальний і правовий захист військовослужбовців та членів їх сімей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12);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Службу безпеки України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27);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законодавства України про охорону здоров’я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77);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статус ветеранів війни, гарантії їх соціального захисту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12–15, 16, 161);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основні засади соціального захисту ветеранів праці та інших громадян похилого віку в Україні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9);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бібліотеки і бібліотечну справу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30);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музеї та музейну справу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28);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6, 7);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захист рослин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20); 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жертви нацистських переслідувань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(61, 62, 63, 64);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охорону дитинства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13);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соціальний захист дітей війни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5);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культуру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 29); </w:t>
            </w:r>
          </w:p>
          <w:p w:rsid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відновлення прав осіб, депортованих за національною ознакою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6); </w:t>
            </w:r>
          </w:p>
          <w:p w:rsidR="0032462D" w:rsidRPr="006E0EDA" w:rsidRDefault="006E0EDA" w:rsidP="006E0EDA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Закон України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освіту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6E0E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(ст. 57).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DE2140" w:rsidRDefault="00DE2140" w:rsidP="00DE2140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Постанова Кабінету Міністрів України від 29 січня 2003 року № 117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Реєстр осіб, які мають право на пільги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; </w:t>
            </w:r>
          </w:p>
          <w:p w:rsidR="00DE2140" w:rsidRDefault="00DE2140" w:rsidP="00DE2140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розпорядження Кабінету Міністрів України від 16 травня 2014 року № 523-р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Деякі питання надання адміністративних послуг через центри надання адміністративних послуг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; </w:t>
            </w:r>
          </w:p>
          <w:p w:rsidR="00DE2140" w:rsidRDefault="00DE2140" w:rsidP="00DE2140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постанова Кабінету Міністрів України від 06 серпня 2014 року № 409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встановлення державних соціальних стандартів у сфері житлово-комунального обслуговування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; </w:t>
            </w:r>
          </w:p>
          <w:p w:rsidR="00DE2140" w:rsidRDefault="00DE2140" w:rsidP="00DE2140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постанова Кабінету Міністрів України від  04 червня 2015 року № 389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 затвердження Порядку надання пільг окремим категоріям громадян з урахуванням середньомісячного сукупного доходу сім’ї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; </w:t>
            </w:r>
          </w:p>
          <w:p w:rsidR="00DE2140" w:rsidRPr="00DE2140" w:rsidRDefault="00DE2140" w:rsidP="00DE2140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постанова Кабінету Міністрів України від 17 квітня 2019 року № 373 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</w:t>
            </w:r>
            <w:r w:rsidRPr="00DE21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Деякі питання надання житлових субсидій та пільг на оплату житлово-комунальних послуг, придбання твердого палива і скрапленого газу у грошовій формі</w:t>
            </w:r>
            <w:r w:rsidR="001A4F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</w:t>
            </w:r>
            <w:r w:rsidR="00995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.</w:t>
            </w:r>
          </w:p>
          <w:p w:rsidR="0032462D" w:rsidRPr="00DE2140" w:rsidRDefault="0032462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A0747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Постанова правління Пенсійного фонду України від 30 липня 2015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> </w:t>
            </w: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року №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> </w:t>
            </w: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13-1 </w:t>
            </w:r>
            <w:r w:rsidR="001A4FF1">
              <w:rPr>
                <w:rStyle w:val="BodytextNotBold"/>
                <w:rFonts w:eastAsia="Courier New"/>
                <w:b w:val="0"/>
                <w:sz w:val="28"/>
                <w:szCs w:val="28"/>
              </w:rPr>
              <w:t>«</w:t>
            </w: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Про організацію прийому та обслуговування осіб, які звертаються до органів Пенсійного фонду України</w:t>
            </w:r>
            <w:r w:rsidR="001A4FF1">
              <w:rPr>
                <w:rStyle w:val="BodytextNotBold"/>
                <w:rFonts w:eastAsia="Courier New"/>
                <w:b w:val="0"/>
                <w:sz w:val="28"/>
                <w:szCs w:val="28"/>
              </w:rPr>
              <w:t>»</w:t>
            </w: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, зареєстрована в Міністерстві юстиції України 18 серпня 2015 року за № 991/27436</w:t>
            </w:r>
            <w:r w:rsidR="007F71BB"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32462D" w:rsidRPr="0058638D" w:rsidTr="00181179">
        <w:trPr>
          <w:trHeight w:val="488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91117D" w:rsidRDefault="0032462D" w:rsidP="001811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911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 отримання послуги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91117D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111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Підстава для отримання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адміністративної 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29119D" w:rsidRDefault="0029119D" w:rsidP="0029119D">
            <w:pPr>
              <w:autoSpaceDE w:val="0"/>
              <w:autoSpaceDN w:val="0"/>
              <w:adjustRightInd w:val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 xml:space="preserve">Звернення до суб’єкта надання адміністративної послуги / центру надання адміністративних послуг, виконавчого органу сільської, селищної, </w:t>
            </w: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міської ради відповідної територіальної громади або військової адміністрації.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8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91117D" w:rsidRDefault="0029119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Перелік документів, необхідних </w:t>
            </w:r>
            <w:r w:rsidRPr="009111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для отримання</w:t>
            </w:r>
            <w:r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Суб’єктом звернення подається заява про надання пільг на оплату житлово-комунальних послуг, придбання твердого палива і скрапленого газу (далі – заява). </w:t>
            </w:r>
          </w:p>
          <w:p w:rsid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Форма заяви, встановлена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 17 квітня 2019 року № 373, розміщена за посиланням: </w:t>
            </w:r>
          </w:p>
          <w:p w:rsidR="0091117D" w:rsidRP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https://www.pfu.gov.ua/2163952-zayava-pro-nadannya-pilg-na-oplatu-zhytlovo-komunalnyh-poslug-prydbannya-tverdogo-palyva-i-skraplenogo-gazu/.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Спосіб подання документів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>, необхідних для 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У паперовій формі при особистому зверненні (до суб’єкта надання адміністративної послуги та/або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адміністрації) або поштовим відправленням (на адресу суб’єкта надання адміністративної послуги); </w:t>
            </w:r>
          </w:p>
          <w:p w:rsidR="0091117D" w:rsidRP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 електронній формі через </w:t>
            </w:r>
            <w:proofErr w:type="spellStart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вебпортал</w:t>
            </w:r>
            <w:proofErr w:type="spellEnd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вебпортал</w:t>
            </w:r>
            <w:proofErr w:type="spellEnd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електронних послуг (Портал Дія), офіційний </w:t>
            </w:r>
            <w:proofErr w:type="spellStart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вебсайт</w:t>
            </w:r>
            <w:proofErr w:type="spellEnd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Мінсоцполітики</w:t>
            </w:r>
            <w:proofErr w:type="spellEnd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Мінсоцполітики</w:t>
            </w:r>
            <w:proofErr w:type="spellEnd"/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(з накладенням електронного підпису, що базується на кваліфікованому сертифікаті електронного підпису)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21"/>
              <w:shd w:val="clear" w:color="auto" w:fill="auto"/>
              <w:spacing w:line="260" w:lineRule="exact"/>
              <w:jc w:val="left"/>
              <w:rPr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Платність</w:t>
            </w:r>
          </w:p>
          <w:p w:rsidR="0091117D" w:rsidRPr="0058638D" w:rsidRDefault="0091117D" w:rsidP="0091117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(безоплатність) надання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29119D">
            <w:pPr>
              <w:widowControl/>
              <w:ind w:firstLine="39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Надається безоплатно</w:t>
            </w:r>
            <w:r w:rsidR="0029119D">
              <w:rPr>
                <w:rStyle w:val="BodytextNotBold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Строк надання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29119D" w:rsidRDefault="0029119D" w:rsidP="0029119D">
            <w:pPr>
              <w:widowControl/>
              <w:ind w:firstLine="3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Протягом 30 днів з дня подання заяви.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Перелік підстав для відмови у наданні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Пільги не надаються, якщо: </w:t>
            </w:r>
          </w:p>
          <w:p w:rsidR="0029119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заявник не перебуває на обліку в Реєстрі осіб, які мають право на пільги;</w:t>
            </w:r>
          </w:p>
          <w:p w:rsidR="0091117D" w:rsidRDefault="0029119D" w:rsidP="0029119D">
            <w:pPr>
              <w:autoSpaceDE w:val="0"/>
              <w:autoSpaceDN w:val="0"/>
              <w:adjustRightInd w:val="0"/>
              <w:ind w:right="282" w:firstLine="399"/>
              <w:rPr>
                <w:rStyle w:val="BodytextNotBold"/>
                <w:rFonts w:eastAsia="Courier New"/>
              </w:rPr>
            </w:pPr>
            <w:r w:rsidRPr="002911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Результат надання </w:t>
            </w:r>
            <w:r w:rsidR="00A07476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29119D" w:rsidP="00A5139F">
            <w:pPr>
              <w:pStyle w:val="21"/>
              <w:shd w:val="clear" w:color="auto" w:fill="auto"/>
              <w:spacing w:line="322" w:lineRule="exact"/>
              <w:ind w:firstLine="399"/>
              <w:jc w:val="left"/>
              <w:rPr>
                <w:rStyle w:val="BodytextNotBold"/>
                <w:sz w:val="28"/>
                <w:szCs w:val="28"/>
              </w:rPr>
            </w:pPr>
            <w:r w:rsidRPr="0029119D">
              <w:rPr>
                <w:b w:val="0"/>
                <w:bCs w:val="0"/>
                <w:sz w:val="28"/>
                <w:szCs w:val="28"/>
                <w:lang w:eastAsia="ru-RU" w:bidi="ar-SA"/>
              </w:rPr>
              <w:t>Органом Пенсійного фонду України приймається рішення про: надання пільги на оплату житлово</w:t>
            </w:r>
            <w:r w:rsidR="00A5139F">
              <w:rPr>
                <w:b w:val="0"/>
                <w:bCs w:val="0"/>
                <w:sz w:val="28"/>
                <w:szCs w:val="28"/>
                <w:lang w:eastAsia="ru-RU" w:bidi="ar-SA"/>
              </w:rPr>
              <w:t>-</w:t>
            </w:r>
            <w:r w:rsidRPr="0029119D">
              <w:rPr>
                <w:b w:val="0"/>
                <w:bCs w:val="0"/>
                <w:sz w:val="28"/>
                <w:szCs w:val="28"/>
                <w:lang w:eastAsia="ru-RU" w:bidi="ar-SA"/>
              </w:rPr>
              <w:t>комунальних послуг</w:t>
            </w:r>
            <w:r w:rsidR="00A5139F">
              <w:rPr>
                <w:b w:val="0"/>
                <w:bCs w:val="0"/>
                <w:sz w:val="28"/>
                <w:szCs w:val="28"/>
                <w:lang w:eastAsia="ru-RU" w:bidi="ar-SA"/>
              </w:rPr>
              <w:t xml:space="preserve"> </w:t>
            </w:r>
            <w:r w:rsidRPr="0029119D">
              <w:rPr>
                <w:b w:val="0"/>
                <w:bCs w:val="0"/>
                <w:sz w:val="28"/>
                <w:szCs w:val="28"/>
                <w:lang w:eastAsia="ru-RU" w:bidi="ar-SA"/>
              </w:rPr>
              <w:t>/</w:t>
            </w:r>
            <w:r w:rsidR="00A5139F">
              <w:rPr>
                <w:b w:val="0"/>
                <w:bCs w:val="0"/>
                <w:sz w:val="28"/>
                <w:szCs w:val="28"/>
                <w:lang w:eastAsia="ru-RU" w:bidi="ar-SA"/>
              </w:rPr>
              <w:t xml:space="preserve"> </w:t>
            </w:r>
            <w:r w:rsidRPr="0029119D">
              <w:rPr>
                <w:b w:val="0"/>
                <w:bCs w:val="0"/>
                <w:sz w:val="28"/>
                <w:szCs w:val="28"/>
                <w:lang w:eastAsia="ru-RU" w:bidi="ar-SA"/>
              </w:rPr>
              <w:t>відмову у наданні пільги на оплату житлово-комунальних послуг.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sz w:val="28"/>
                <w:szCs w:val="28"/>
              </w:rPr>
            </w:pPr>
            <w:r w:rsidRPr="00181179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A5139F" w:rsidP="00A5139F">
            <w:pPr>
              <w:autoSpaceDE w:val="0"/>
              <w:autoSpaceDN w:val="0"/>
              <w:adjustRightInd w:val="0"/>
              <w:ind w:right="282"/>
              <w:rPr>
                <w:rStyle w:val="BodytextNotBold"/>
                <w:rFonts w:eastAsia="Courier New"/>
              </w:rPr>
            </w:pPr>
            <w:r w:rsidRPr="00A513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A513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вебпорталі</w:t>
            </w:r>
            <w:proofErr w:type="spellEnd"/>
            <w:r w:rsidRPr="00A513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електронних послуг.</w:t>
            </w:r>
          </w:p>
        </w:tc>
      </w:tr>
    </w:tbl>
    <w:p w:rsidR="0058638D" w:rsidRDefault="0058638D">
      <w:pPr>
        <w:spacing w:after="599" w:line="1" w:lineRule="exact"/>
      </w:pPr>
    </w:p>
    <w:p w:rsidR="001A4FF1" w:rsidRDefault="001A4FF1" w:rsidP="0058638D">
      <w:pPr>
        <w:widowControl/>
        <w:jc w:val="both"/>
        <w:rPr>
          <w:lang w:val="ru-RU"/>
        </w:rPr>
      </w:pP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362A15" w:rsidRDefault="00362A15" w:rsidP="00362A15">
      <w:pPr>
        <w:tabs>
          <w:tab w:val="left" w:pos="6237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обслуговування громадян                                         Надія СЕМЕНЮК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 пенсійного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забезпечення, надання страхових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виплат, соціальних послуг, 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житлових субсидій та пільг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Вікторія ПОЛЯКОВСЬКА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- начальник відділу</w:t>
      </w:r>
    </w:p>
    <w:p w:rsidR="00362A15" w:rsidRDefault="00362A15" w:rsidP="0036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методології та звітності                                              Оксана МУНТЯН</w:t>
      </w:r>
    </w:p>
    <w:p w:rsidR="00362A15" w:rsidRDefault="00362A15" w:rsidP="0058638D">
      <w:pPr>
        <w:widowControl/>
        <w:jc w:val="both"/>
        <w:rPr>
          <w:lang w:val="ru-RU"/>
        </w:rPr>
      </w:pPr>
    </w:p>
    <w:sectPr w:rsidR="00362A15" w:rsidSect="00390766">
      <w:headerReference w:type="default" r:id="rId12"/>
      <w:headerReference w:type="first" r:id="rId13"/>
      <w:pgSz w:w="11900" w:h="16840"/>
      <w:pgMar w:top="1100" w:right="567" w:bottom="1701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59" w:rsidRDefault="00DF7859">
      <w:r>
        <w:separator/>
      </w:r>
    </w:p>
  </w:endnote>
  <w:endnote w:type="continuationSeparator" w:id="0">
    <w:p w:rsidR="00DF7859" w:rsidRDefault="00D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59" w:rsidRDefault="00DF7859"/>
  </w:footnote>
  <w:footnote w:type="continuationSeparator" w:id="0">
    <w:p w:rsidR="00DF7859" w:rsidRDefault="00DF78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586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4897FA" wp14:editId="31FB1ACE">
              <wp:simplePos x="0" y="0"/>
              <wp:positionH relativeFrom="page">
                <wp:posOffset>3987165</wp:posOffset>
              </wp:positionH>
              <wp:positionV relativeFrom="page">
                <wp:posOffset>488315</wp:posOffset>
              </wp:positionV>
              <wp:extent cx="14922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F2B" w:rsidRDefault="0058638D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4090" w:rsidRPr="00274090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95pt;margin-top:38.45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" filled="f" stroked="f">
              <v:textbox style="mso-fit-shape-to-text:t" inset="0,0,0,0">
                <w:txbxContent>
                  <w:p w:rsidR="00966F2B" w:rsidRDefault="0058638D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4090" w:rsidRPr="00274090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966F2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B10"/>
    <w:multiLevelType w:val="multilevel"/>
    <w:tmpl w:val="94EE160A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E272E"/>
    <w:multiLevelType w:val="hybridMultilevel"/>
    <w:tmpl w:val="9BA466A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4CB75C0F"/>
    <w:multiLevelType w:val="hybridMultilevel"/>
    <w:tmpl w:val="CDC8F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07D06"/>
    <w:multiLevelType w:val="multilevel"/>
    <w:tmpl w:val="2A5699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F975B2"/>
    <w:multiLevelType w:val="hybridMultilevel"/>
    <w:tmpl w:val="3AA05A8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1145B8A"/>
    <w:multiLevelType w:val="multilevel"/>
    <w:tmpl w:val="1BB2F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A0E4A"/>
    <w:multiLevelType w:val="hybridMultilevel"/>
    <w:tmpl w:val="ADF6316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2B"/>
    <w:rsid w:val="00170806"/>
    <w:rsid w:val="00181179"/>
    <w:rsid w:val="001A4FF1"/>
    <w:rsid w:val="00245F0C"/>
    <w:rsid w:val="00274090"/>
    <w:rsid w:val="0029119D"/>
    <w:rsid w:val="0032462D"/>
    <w:rsid w:val="00330E20"/>
    <w:rsid w:val="00336291"/>
    <w:rsid w:val="00362A15"/>
    <w:rsid w:val="00372E42"/>
    <w:rsid w:val="00381652"/>
    <w:rsid w:val="00386666"/>
    <w:rsid w:val="00390766"/>
    <w:rsid w:val="004037C0"/>
    <w:rsid w:val="00406F16"/>
    <w:rsid w:val="004270A2"/>
    <w:rsid w:val="0046187D"/>
    <w:rsid w:val="00471B55"/>
    <w:rsid w:val="00483739"/>
    <w:rsid w:val="004E7A5B"/>
    <w:rsid w:val="0050594E"/>
    <w:rsid w:val="0058638D"/>
    <w:rsid w:val="005A76D2"/>
    <w:rsid w:val="0060724F"/>
    <w:rsid w:val="00667244"/>
    <w:rsid w:val="0068733E"/>
    <w:rsid w:val="006B0AAF"/>
    <w:rsid w:val="006B287F"/>
    <w:rsid w:val="006E0EDA"/>
    <w:rsid w:val="00766E9E"/>
    <w:rsid w:val="007864C9"/>
    <w:rsid w:val="007A4E8A"/>
    <w:rsid w:val="007B2F0F"/>
    <w:rsid w:val="007F71BB"/>
    <w:rsid w:val="00833F73"/>
    <w:rsid w:val="00872F90"/>
    <w:rsid w:val="008E6277"/>
    <w:rsid w:val="00900B4D"/>
    <w:rsid w:val="0091117D"/>
    <w:rsid w:val="00966F2B"/>
    <w:rsid w:val="009712CD"/>
    <w:rsid w:val="00976FD6"/>
    <w:rsid w:val="009952AB"/>
    <w:rsid w:val="00A07476"/>
    <w:rsid w:val="00A27F2E"/>
    <w:rsid w:val="00A5139F"/>
    <w:rsid w:val="00CE5AB7"/>
    <w:rsid w:val="00D55CDF"/>
    <w:rsid w:val="00D92C87"/>
    <w:rsid w:val="00DC4B8E"/>
    <w:rsid w:val="00DE2140"/>
    <w:rsid w:val="00DF7859"/>
    <w:rsid w:val="00EA2A51"/>
    <w:rsid w:val="00F401EB"/>
    <w:rsid w:val="00F9612D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.pfu.gov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u.gov.ua/z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zk.pfu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6529-892C-4F7B-A056-AA19CFF1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6216</Words>
  <Characters>3544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zvern11</dc:creator>
  <cp:lastModifiedBy>zvrr11237082334</cp:lastModifiedBy>
  <cp:revision>3</cp:revision>
  <cp:lastPrinted>2021-09-20T11:42:00Z</cp:lastPrinted>
  <dcterms:created xsi:type="dcterms:W3CDTF">2024-05-16T12:07:00Z</dcterms:created>
  <dcterms:modified xsi:type="dcterms:W3CDTF">2024-05-16T12:25:00Z</dcterms:modified>
</cp:coreProperties>
</file>