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04" w:rsidRDefault="008923BE" w:rsidP="00A4774C">
      <w:pPr>
        <w:spacing w:after="0" w:line="240" w:lineRule="auto"/>
        <w:ind w:left="284" w:right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   </w:t>
      </w:r>
      <w:r w:rsidR="004B74F6">
        <w:rPr>
          <w:rFonts w:ascii="Times New Roman" w:hAnsi="Times New Roman"/>
          <w:sz w:val="28"/>
        </w:rPr>
        <w:t>Рахівська міська рада</w:t>
      </w:r>
    </w:p>
    <w:p w:rsidR="00746E04" w:rsidRDefault="004B74F6" w:rsidP="00A4774C">
      <w:pPr>
        <w:spacing w:after="0" w:line="240" w:lineRule="auto"/>
        <w:ind w:left="284" w:right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Відділ архітектури та містобудування Рахівської міської ради</w:t>
      </w:r>
    </w:p>
    <w:p w:rsidR="00746E04" w:rsidRDefault="004B74F6" w:rsidP="00A4774C">
      <w:pPr>
        <w:spacing w:after="0" w:line="240" w:lineRule="auto"/>
        <w:ind w:left="284" w:right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Містобудівний моніторинг містобудівної документації населених пунктів Рахівської територіальної громади                 </w:t>
      </w:r>
    </w:p>
    <w:p w:rsidR="00845A0F" w:rsidRDefault="00845A0F" w:rsidP="00A4774C">
      <w:pPr>
        <w:spacing w:after="0" w:line="240" w:lineRule="auto"/>
        <w:ind w:left="284" w:right="424"/>
        <w:jc w:val="center"/>
        <w:rPr>
          <w:rFonts w:ascii="Times New Roman" w:hAnsi="Times New Roman"/>
          <w:b/>
          <w:sz w:val="28"/>
        </w:rPr>
      </w:pPr>
    </w:p>
    <w:p w:rsidR="00A4774C" w:rsidRPr="00A4774C" w:rsidRDefault="004B74F6" w:rsidP="00A4774C">
      <w:pPr>
        <w:spacing w:after="0" w:line="240" w:lineRule="auto"/>
        <w:ind w:left="284" w:right="42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Аналітичний звіт за 2022 рік</w:t>
      </w:r>
    </w:p>
    <w:p w:rsidR="00746E04" w:rsidRDefault="004B7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Відповідно до статті 23 Закону України </w:t>
      </w:r>
      <w:proofErr w:type="spellStart"/>
      <w:r>
        <w:rPr>
          <w:rFonts w:ascii="Times New Roman" w:hAnsi="Times New Roman"/>
          <w:sz w:val="28"/>
        </w:rPr>
        <w:t>„Про</w:t>
      </w:r>
      <w:proofErr w:type="spellEnd"/>
      <w:r>
        <w:rPr>
          <w:rFonts w:ascii="Times New Roman" w:hAnsi="Times New Roman"/>
          <w:sz w:val="28"/>
        </w:rPr>
        <w:t xml:space="preserve"> регулювання містобудівної діяльності”, враховуючи Порядок проведення містобудівного моніторингу затвердженого наказом Міністерства регіонального розвитку, будівництва та житлово-комунального господарства України від 01.09.2011 №170 (у редакції наказу Міністерства розвитку громад та територій України від 14 грудня 2021 року №333) (надалі - Порядок) відділом архітектури та містобудування Рахівської міської ради (надалі - відділ) підготовлено аналітичний звіт містобудівного моніторингу містобудівної документації: генеральних планів населених пунктів Рахівської територіальної громади.</w:t>
      </w:r>
    </w:p>
    <w:p w:rsidR="00746E04" w:rsidRDefault="00BE3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hyperlink r:id="rId5" w:anchor="w1_3" w:history="1">
        <w:r w:rsidR="004B74F6">
          <w:rPr>
            <w:rStyle w:val="a8"/>
            <w:rFonts w:ascii="Times New Roman" w:hAnsi="Times New Roman"/>
            <w:color w:val="auto"/>
            <w:sz w:val="28"/>
            <w:u w:val="none"/>
          </w:rPr>
          <w:t>Містобудівний</w:t>
        </w:r>
      </w:hyperlink>
      <w:r w:rsidR="004B74F6">
        <w:rPr>
          <w:rFonts w:ascii="Times New Roman" w:hAnsi="Times New Roman"/>
          <w:sz w:val="28"/>
        </w:rPr>
        <w:t> </w:t>
      </w:r>
      <w:hyperlink r:id="rId6" w:anchor="w2_3" w:history="1">
        <w:r w:rsidR="004B74F6">
          <w:rPr>
            <w:rStyle w:val="a8"/>
            <w:rFonts w:ascii="Times New Roman" w:hAnsi="Times New Roman"/>
            <w:color w:val="auto"/>
            <w:sz w:val="28"/>
            <w:u w:val="none"/>
          </w:rPr>
          <w:t>моніторинг</w:t>
        </w:r>
      </w:hyperlink>
      <w:r w:rsidR="004B74F6">
        <w:rPr>
          <w:rFonts w:ascii="Times New Roman" w:hAnsi="Times New Roman"/>
          <w:sz w:val="28"/>
        </w:rPr>
        <w:t xml:space="preserve"> – це система спостережень, аналіз реалізації містобудівної документації, оцінки та прогнозу стану і змін об’єктів містобудування,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інтересів.</w:t>
      </w:r>
    </w:p>
    <w:p w:rsidR="00746E04" w:rsidRDefault="004B7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Містобудівний моніторинг передбачає проведення таких заходів: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o57"/>
      <w:bookmarkEnd w:id="0"/>
      <w:r>
        <w:rPr>
          <w:rFonts w:ascii="Times New Roman" w:hAnsi="Times New Roman"/>
          <w:sz w:val="28"/>
        </w:rPr>
        <w:t xml:space="preserve">1) визначення об’єкта та обсягу містобудівного моніторингу уповноваженим органом містобудування та архітектури;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1" w:name="o58"/>
      <w:bookmarkEnd w:id="1"/>
      <w:r>
        <w:rPr>
          <w:rFonts w:ascii="Times New Roman" w:hAnsi="Times New Roman"/>
          <w:sz w:val="28"/>
        </w:rPr>
        <w:t xml:space="preserve">2) інформування громадськості, щодо початку підготовки аналітичного звіту шляхом розміщення інформаційного повідомлення на офіційному веб-сайті Рахівської міської ради стосовно порядку надання пропозицій щодо необхідності здійснення моніторингу окремих об’єктів містобудування;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2" w:name="o59"/>
      <w:bookmarkEnd w:id="2"/>
      <w:r>
        <w:rPr>
          <w:rFonts w:ascii="Times New Roman" w:hAnsi="Times New Roman"/>
          <w:sz w:val="28"/>
        </w:rPr>
        <w:t xml:space="preserve">3) збір даних, що забезпечують отримання результатів містобудівного моніторингу;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3" w:name="o60"/>
      <w:bookmarkEnd w:id="3"/>
      <w:r>
        <w:rPr>
          <w:rFonts w:ascii="Times New Roman" w:hAnsi="Times New Roman"/>
          <w:sz w:val="28"/>
        </w:rPr>
        <w:t xml:space="preserve">4) опрацювання пропозицій громадськості, щодо необхідності здійснення моніторингу окремих об’єктів містобудування;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4" w:name="o61"/>
      <w:bookmarkEnd w:id="4"/>
      <w:r>
        <w:rPr>
          <w:rFonts w:ascii="Times New Roman" w:hAnsi="Times New Roman"/>
          <w:sz w:val="28"/>
        </w:rPr>
        <w:t xml:space="preserve">5) обробка отриманих даних у процесі містобудівного моніторингу, формування та наповнення Бази </w:t>
      </w:r>
      <w:proofErr w:type="spellStart"/>
      <w:r>
        <w:rPr>
          <w:rFonts w:ascii="Times New Roman" w:hAnsi="Times New Roman"/>
          <w:sz w:val="28"/>
        </w:rPr>
        <w:t>геопросторових</w:t>
      </w:r>
      <w:proofErr w:type="spellEnd"/>
      <w:r>
        <w:rPr>
          <w:rFonts w:ascii="Times New Roman" w:hAnsi="Times New Roman"/>
          <w:sz w:val="28"/>
        </w:rPr>
        <w:t xml:space="preserve"> даних містобудівної документації;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5" w:name="o62"/>
      <w:bookmarkEnd w:id="5"/>
      <w:r>
        <w:rPr>
          <w:rFonts w:ascii="Times New Roman" w:hAnsi="Times New Roman"/>
          <w:sz w:val="28"/>
        </w:rPr>
        <w:t xml:space="preserve">6) аналіз отриманих даних в процесі містобудівного моніторингу, підготовка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аналітичного звіту;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6" w:name="o63"/>
      <w:bookmarkEnd w:id="6"/>
      <w:r>
        <w:rPr>
          <w:rFonts w:ascii="Times New Roman" w:hAnsi="Times New Roman"/>
          <w:sz w:val="28"/>
        </w:rPr>
        <w:t xml:space="preserve">7) проведення громадських обговорень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аналітичного звіту шляхом розміщення на офіційному веб-сайті Рахівської міської ради інформаційного повідомлення;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проведення, відповідно до рішення уповноваженого органу містобудування та архітектури, громадських слухань щодо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аналітичного звіту;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7" w:name="o69"/>
      <w:bookmarkEnd w:id="7"/>
      <w:r>
        <w:rPr>
          <w:rFonts w:ascii="Times New Roman" w:hAnsi="Times New Roman"/>
          <w:sz w:val="28"/>
        </w:rPr>
        <w:t xml:space="preserve">9) доопрацювання аналітичного звіту за результатами громадського обговорення;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8" w:name="o70"/>
      <w:bookmarkEnd w:id="8"/>
      <w:r>
        <w:rPr>
          <w:rFonts w:ascii="Times New Roman" w:hAnsi="Times New Roman"/>
          <w:sz w:val="28"/>
        </w:rPr>
        <w:lastRenderedPageBreak/>
        <w:t>10) затвердження аналітичного звіту та надання його до відповідних органів державної влади та органів місцевого самоврядування;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надання аналітичного звіту та відповідних матеріалів в частині встановлення розбіжностей з питань використання земельних ділянок для містобудівних потреб до Державної служби України з питань геодезії, картографії та кадастру;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9" w:name="o76"/>
      <w:bookmarkEnd w:id="9"/>
      <w:r>
        <w:rPr>
          <w:rFonts w:ascii="Times New Roman" w:hAnsi="Times New Roman"/>
          <w:sz w:val="28"/>
        </w:rPr>
        <w:t xml:space="preserve">12) публікація аналітичного звіту на офіційному веб-сайті Рахівської міської ради. </w:t>
      </w:r>
    </w:p>
    <w:p w:rsidR="00A4774C" w:rsidRDefault="00A4774C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774C" w:rsidRDefault="00A4774C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Розділ 1.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«Топографічний моніторинг»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 xml:space="preserve">При розробленні Генерального плану м. Рахів, виконані Схеми проекту на цифрованій картографічній основі у державній геодезичній системі координат УСК-2000 </w:t>
      </w:r>
      <w:proofErr w:type="spellStart"/>
      <w:r>
        <w:rPr>
          <w:sz w:val="28"/>
        </w:rPr>
        <w:t>маштабу</w:t>
      </w:r>
      <w:proofErr w:type="spellEnd"/>
      <w:r>
        <w:rPr>
          <w:sz w:val="28"/>
        </w:rPr>
        <w:t xml:space="preserve"> 1:5000 вихідна інформація станом на 2014 р.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>При розробці Генерального плану с. Білин, прийнята топографічна основа М1:2000.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 xml:space="preserve">При розробці Генерального плану с. Ділове, в якості </w:t>
      </w:r>
      <w:proofErr w:type="spellStart"/>
      <w:r>
        <w:rPr>
          <w:sz w:val="28"/>
        </w:rPr>
        <w:t>топогеодезичної</w:t>
      </w:r>
      <w:proofErr w:type="spellEnd"/>
      <w:r>
        <w:rPr>
          <w:sz w:val="28"/>
        </w:rPr>
        <w:t xml:space="preserve"> основи прийнята топографічна зйомка М 1:2000, виконано у 2017 р. </w:t>
      </w:r>
    </w:p>
    <w:p w:rsidR="00746E04" w:rsidRDefault="00746E04" w:rsidP="00A4774C">
      <w:pPr>
        <w:pStyle w:val="a3"/>
        <w:widowControl w:val="0"/>
        <w:ind w:left="0" w:right="-1" w:firstLine="567"/>
        <w:rPr>
          <w:sz w:val="28"/>
        </w:rPr>
      </w:pPr>
    </w:p>
    <w:p w:rsidR="00A4774C" w:rsidRDefault="00A4774C" w:rsidP="00A4774C">
      <w:pPr>
        <w:pStyle w:val="a3"/>
        <w:widowControl w:val="0"/>
        <w:ind w:left="0" w:right="-1"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>Р</w:t>
      </w:r>
      <w:r w:rsidR="004B74F6">
        <w:rPr>
          <w:b/>
          <w:i/>
          <w:sz w:val="28"/>
        </w:rPr>
        <w:t xml:space="preserve">озділ 2. </w:t>
      </w:r>
    </w:p>
    <w:p w:rsidR="00746E04" w:rsidRPr="00A4774C" w:rsidRDefault="004B74F6" w:rsidP="00A4774C">
      <w:pPr>
        <w:pStyle w:val="a3"/>
        <w:widowControl w:val="0"/>
        <w:ind w:left="0" w:right="-1"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>«Моніторинг навколишнього середовища»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rPr>
          <w:b w:val="0"/>
          <w:i w:val="0"/>
          <w:sz w:val="28"/>
        </w:rPr>
      </w:pPr>
      <w:r>
        <w:rPr>
          <w:b w:val="0"/>
          <w:i w:val="0"/>
          <w:sz w:val="28"/>
        </w:rPr>
        <w:t>Головним забруднювачем атмосферного повітря Рахівської територіальної громади продовжує і надалі залишатися автотранспорт.</w:t>
      </w:r>
    </w:p>
    <w:p w:rsidR="00746E04" w:rsidRPr="00723D35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>На території Рахівської територіальної громади не розміщено екологічно небезпечних підприємств, левову частку промисловості громади скл</w:t>
      </w:r>
      <w:r w:rsidR="00723D35">
        <w:rPr>
          <w:sz w:val="28"/>
        </w:rPr>
        <w:t>адає деревообробні виробництва.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Рахівська територіальна громада – найбільш зволожена частина Закарпатської області. В її межах широко розвинуті сучасні геологічні процеси: площинна ерозія, формування ярів, русел, зсуви. На розвиток процесів утворення ярів впливає наявність крутих нахилів, складених породами, які легко розмиваються, глибокий ерозійний </w:t>
      </w:r>
      <w:proofErr w:type="spellStart"/>
      <w:r>
        <w:rPr>
          <w:sz w:val="28"/>
        </w:rPr>
        <w:t>вріз</w:t>
      </w:r>
      <w:proofErr w:type="spellEnd"/>
      <w:r>
        <w:rPr>
          <w:sz w:val="28"/>
        </w:rPr>
        <w:t xml:space="preserve"> річної сітки і клімат. </w:t>
      </w:r>
      <w:proofErr w:type="spellStart"/>
      <w:r>
        <w:rPr>
          <w:sz w:val="28"/>
        </w:rPr>
        <w:t>Яружно-</w:t>
      </w:r>
      <w:proofErr w:type="spellEnd"/>
      <w:r>
        <w:rPr>
          <w:sz w:val="28"/>
        </w:rPr>
        <w:t xml:space="preserve"> балкова сітка відкриває як ґрунтові, так і </w:t>
      </w:r>
      <w:proofErr w:type="spellStart"/>
      <w:r>
        <w:rPr>
          <w:sz w:val="28"/>
        </w:rPr>
        <w:t>міжпластові</w:t>
      </w:r>
      <w:proofErr w:type="spellEnd"/>
      <w:r>
        <w:rPr>
          <w:sz w:val="28"/>
        </w:rPr>
        <w:t xml:space="preserve"> водоносні горизонти, дренуючи їх. Руслові процеси найбільш розвинуті в долинах приток р. Тиси. Зсуви спостерігаються на всій території району з значним ухилом рельєфу. 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rPr>
          <w:b w:val="0"/>
          <w:i w:val="0"/>
          <w:sz w:val="28"/>
        </w:rPr>
      </w:pPr>
      <w:r>
        <w:rPr>
          <w:b w:val="0"/>
          <w:i w:val="0"/>
          <w:sz w:val="28"/>
        </w:rPr>
        <w:t>Найбільша ріка Тиса є основною водною артерією громади. Гідрологічні особливості басейну р. Тиси визначаються природно-кліматичними умовами Карпатського регіону. Водний режим ріки характеризується частими паводками зливового походження, які можуть досягати підняття рівня на 6,5 метрів і більше.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rPr>
          <w:b w:val="0"/>
          <w:i w:val="0"/>
          <w:sz w:val="28"/>
        </w:rPr>
      </w:pPr>
      <w:r>
        <w:rPr>
          <w:b w:val="0"/>
          <w:i w:val="0"/>
          <w:sz w:val="28"/>
        </w:rPr>
        <w:t>В Рахівській територіальній громаді склалась критична ситуація з похованням на існуючих кладовищах, оскільки більшість кладовищ розміщена в населених пунктах на віддалі менше 300 м від житла та громадських об’єктів.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Рахівська територіальна громада як і Закарпаття відноситься до </w:t>
      </w:r>
      <w:proofErr w:type="spellStart"/>
      <w:r>
        <w:rPr>
          <w:b w:val="0"/>
          <w:i w:val="0"/>
          <w:sz w:val="28"/>
        </w:rPr>
        <w:lastRenderedPageBreak/>
        <w:t>енергодефіцитних</w:t>
      </w:r>
      <w:proofErr w:type="spellEnd"/>
      <w:r w:rsidR="00723D35">
        <w:rPr>
          <w:b w:val="0"/>
          <w:i w:val="0"/>
          <w:sz w:val="28"/>
        </w:rPr>
        <w:t xml:space="preserve"> </w:t>
      </w:r>
      <w:r>
        <w:rPr>
          <w:b w:val="0"/>
          <w:i w:val="0"/>
          <w:sz w:val="28"/>
        </w:rPr>
        <w:t xml:space="preserve">регіонів, електропостачання здійснюється від електростанцій, розташованих як на території області (це 5 ГЕС сумарною встановленою потужністю 32,93 МВт. Основним джерелом електропостачання області є </w:t>
      </w:r>
      <w:proofErr w:type="spellStart"/>
      <w:r>
        <w:rPr>
          <w:b w:val="0"/>
          <w:i w:val="0"/>
          <w:sz w:val="28"/>
        </w:rPr>
        <w:t>Бурштинська</w:t>
      </w:r>
      <w:proofErr w:type="spellEnd"/>
      <w:r>
        <w:rPr>
          <w:b w:val="0"/>
          <w:i w:val="0"/>
          <w:sz w:val="28"/>
        </w:rPr>
        <w:t xml:space="preserve"> ТЕС.</w:t>
      </w:r>
    </w:p>
    <w:p w:rsidR="00746E04" w:rsidRDefault="00746E04" w:rsidP="00A4774C">
      <w:pPr>
        <w:pStyle w:val="2"/>
        <w:widowControl w:val="0"/>
        <w:spacing w:line="240" w:lineRule="auto"/>
        <w:ind w:left="0"/>
        <w:rPr>
          <w:sz w:val="28"/>
        </w:rPr>
      </w:pPr>
    </w:p>
    <w:p w:rsidR="00A4774C" w:rsidRDefault="00A4774C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</w:t>
      </w:r>
      <w:r w:rsidR="004B74F6">
        <w:rPr>
          <w:sz w:val="28"/>
        </w:rPr>
        <w:t>озділ 3.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 xml:space="preserve"> «Моніторинг забудови»</w:t>
      </w:r>
    </w:p>
    <w:p w:rsidR="00746E04" w:rsidRDefault="004B7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зв’язку з відсутністю в 2022 році уповноваженого органу архітектури та містобудування в Рахівській територіальні громаді відповідні повноваження були поставлені на  відділ інфраструктури, містобудування та архітектури, житлово-комунального господарства, екології управління соціально-економічного розвитку території райдержадміністрації  відділом видано та зареєстровано через Єдину Державну електронну систему у сфері будівництва:</w:t>
      </w:r>
    </w:p>
    <w:p w:rsidR="00746E04" w:rsidRDefault="004B7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23D35">
        <w:rPr>
          <w:rFonts w:ascii="Times New Roman" w:hAnsi="Times New Roman"/>
          <w:sz w:val="28"/>
        </w:rPr>
        <w:t>видано</w:t>
      </w:r>
      <w:r w:rsidR="00723D35">
        <w:rPr>
          <w:rFonts w:ascii="Times New Roman" w:hAnsi="Times New Roman"/>
          <w:sz w:val="28"/>
        </w:rPr>
        <w:t xml:space="preserve"> 28</w:t>
      </w:r>
      <w:r w:rsidRPr="00723D35">
        <w:rPr>
          <w:rFonts w:ascii="Times New Roman" w:hAnsi="Times New Roman"/>
          <w:sz w:val="28"/>
        </w:rPr>
        <w:t xml:space="preserve">  будівельні </w:t>
      </w:r>
      <w:r>
        <w:rPr>
          <w:rFonts w:ascii="Times New Roman" w:hAnsi="Times New Roman"/>
          <w:sz w:val="28"/>
        </w:rPr>
        <w:t xml:space="preserve">паспорти забудови земельної ділянки; </w:t>
      </w:r>
    </w:p>
    <w:p w:rsidR="00746E04" w:rsidRDefault="004B7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надано 3 містобудівних умов та обмежень для проектування об’єкта будівництва. </w:t>
      </w:r>
    </w:p>
    <w:p w:rsidR="00A4774C" w:rsidRDefault="00A4774C" w:rsidP="00A4774C">
      <w:pPr>
        <w:pStyle w:val="1"/>
        <w:keepNext/>
        <w:keepLines/>
        <w:spacing w:before="0" w:line="240" w:lineRule="auto"/>
        <w:ind w:firstLine="567"/>
        <w:jc w:val="center"/>
        <w:rPr>
          <w:rFonts w:ascii="Times New Roman" w:hAnsi="Times New Roman"/>
          <w:b/>
          <w:i/>
          <w:color w:val="auto"/>
          <w:sz w:val="28"/>
        </w:rPr>
      </w:pPr>
      <w:r>
        <w:rPr>
          <w:rFonts w:ascii="Times New Roman" w:hAnsi="Times New Roman"/>
          <w:b/>
          <w:i/>
          <w:color w:val="auto"/>
          <w:sz w:val="28"/>
        </w:rPr>
        <w:t>Р</w:t>
      </w:r>
      <w:r w:rsidR="004B74F6">
        <w:rPr>
          <w:rFonts w:ascii="Times New Roman" w:hAnsi="Times New Roman"/>
          <w:b/>
          <w:i/>
          <w:color w:val="auto"/>
          <w:sz w:val="28"/>
        </w:rPr>
        <w:t xml:space="preserve">озділ 4. </w:t>
      </w:r>
    </w:p>
    <w:p w:rsidR="00746E04" w:rsidRDefault="004B74F6" w:rsidP="00A4774C">
      <w:pPr>
        <w:pStyle w:val="1"/>
        <w:keepNext/>
        <w:keepLines/>
        <w:spacing w:before="0" w:line="240" w:lineRule="auto"/>
        <w:ind w:firstLine="567"/>
        <w:jc w:val="center"/>
        <w:rPr>
          <w:rFonts w:ascii="Times New Roman" w:hAnsi="Times New Roman"/>
          <w:b/>
          <w:i/>
          <w:color w:val="auto"/>
          <w:sz w:val="28"/>
        </w:rPr>
      </w:pPr>
      <w:r>
        <w:rPr>
          <w:rFonts w:ascii="Times New Roman" w:hAnsi="Times New Roman"/>
          <w:b/>
          <w:i/>
          <w:color w:val="auto"/>
          <w:sz w:val="28"/>
        </w:rPr>
        <w:t>«Моніторинг демографічної ситуації та розселення»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 xml:space="preserve">Станом на 2023 рік чисельність наявного населення </w:t>
      </w:r>
      <w:r w:rsidR="00845A0F">
        <w:rPr>
          <w:sz w:val="28"/>
        </w:rPr>
        <w:t xml:space="preserve">Рахівської територіальної громади </w:t>
      </w:r>
      <w:r>
        <w:rPr>
          <w:sz w:val="28"/>
        </w:rPr>
        <w:t>складає 23601 осіб.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>За реалістичним варіантом прогнозу передбачається повільне зростання тривалості життя в найближчі роки як наслідок продовження тенденції зниження смертності серед дітей і стагнації коефіцієнтів смертності в старших вікових групах. Очікувана тривалість життя при народженні досягне 64,4 та 73,6 року для чоловіків і жінок відповідно. Згодом темпи скорочення смертності серед дітей знизяться, натомість з’явиться тенденція до скорочення смертності осіб у працездатному віці як наслідок поліпшення якості життя. До 2030 р. тривалість життя зросте до 68,4 та 76,1 року для чоловіків і жінок відповідно.</w:t>
      </w:r>
    </w:p>
    <w:p w:rsidR="00746E04" w:rsidRDefault="00746E04" w:rsidP="00A4774C">
      <w:pPr>
        <w:pStyle w:val="a3"/>
        <w:widowControl w:val="0"/>
        <w:ind w:right="126" w:firstLine="707"/>
        <w:jc w:val="left"/>
        <w:rPr>
          <w:sz w:val="28"/>
        </w:rPr>
      </w:pPr>
    </w:p>
    <w:p w:rsidR="00A4774C" w:rsidRDefault="00A4774C" w:rsidP="00A477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</w:t>
      </w:r>
      <w:r w:rsidR="004B74F6">
        <w:rPr>
          <w:rFonts w:ascii="Times New Roman" w:hAnsi="Times New Roman"/>
          <w:b/>
          <w:i/>
          <w:sz w:val="28"/>
        </w:rPr>
        <w:t>озділ 5.</w:t>
      </w:r>
    </w:p>
    <w:p w:rsidR="00746E04" w:rsidRDefault="004B74F6" w:rsidP="00A4774C">
      <w:pPr>
        <w:spacing w:after="0" w:line="240" w:lineRule="auto"/>
        <w:ind w:firstLine="567"/>
        <w:jc w:val="center"/>
      </w:pP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«Моніторинг соціально-економічної діяльності»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>Населені пункти</w:t>
      </w:r>
      <w:r w:rsidR="005E437B">
        <w:rPr>
          <w:sz w:val="28"/>
        </w:rPr>
        <w:t xml:space="preserve"> Рахівської територіальної громади</w:t>
      </w:r>
      <w:r>
        <w:rPr>
          <w:sz w:val="28"/>
        </w:rPr>
        <w:t xml:space="preserve"> мають досить розвинену соціальну інфраструктуру. Всі </w:t>
      </w:r>
      <w:r w:rsidR="005E437B">
        <w:rPr>
          <w:sz w:val="28"/>
        </w:rPr>
        <w:t xml:space="preserve">села територіальної громади </w:t>
      </w:r>
      <w:r>
        <w:rPr>
          <w:sz w:val="28"/>
        </w:rPr>
        <w:t>забезпечені навчальними установами, дошкільними</w:t>
      </w:r>
      <w:r w:rsidR="009033AC">
        <w:rPr>
          <w:sz w:val="28"/>
        </w:rPr>
        <w:t xml:space="preserve"> навчальними закладами</w:t>
      </w:r>
      <w:r>
        <w:rPr>
          <w:sz w:val="28"/>
        </w:rPr>
        <w:t xml:space="preserve">. </w:t>
      </w:r>
      <w:r w:rsidR="005E437B">
        <w:rPr>
          <w:sz w:val="28"/>
        </w:rPr>
        <w:t>Звертаємо увагу що стоїть</w:t>
      </w:r>
      <w:r>
        <w:rPr>
          <w:sz w:val="28"/>
        </w:rPr>
        <w:t xml:space="preserve"> питання забезпечення дошкільними установами дітей проживаючих у присілках та віддалених від центрів сіл будинках, також стоїть питання недостатньої кілько</w:t>
      </w:r>
      <w:r w:rsidR="005E437B">
        <w:rPr>
          <w:sz w:val="28"/>
        </w:rPr>
        <w:t xml:space="preserve">сті місць дошкільних установ у місті </w:t>
      </w:r>
      <w:r>
        <w:rPr>
          <w:sz w:val="28"/>
        </w:rPr>
        <w:t xml:space="preserve">через </w:t>
      </w:r>
      <w:r w:rsidR="005E437B">
        <w:rPr>
          <w:sz w:val="28"/>
        </w:rPr>
        <w:t>значну кількість населення в даному місті</w:t>
      </w:r>
      <w:r>
        <w:rPr>
          <w:sz w:val="28"/>
        </w:rPr>
        <w:t xml:space="preserve">. </w:t>
      </w:r>
    </w:p>
    <w:p w:rsidR="009033AC" w:rsidRDefault="004B74F6" w:rsidP="00A4774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Разом із тим</w:t>
      </w:r>
      <w:r w:rsidR="005E437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слід констатувати особливі риси економіки регіону – це насамперед лісове господарство, деревообробна промисловість</w:t>
      </w:r>
      <w:r w:rsidR="009033A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746E04" w:rsidRDefault="004B74F6" w:rsidP="00A4774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Крім цього протягом останніх </w:t>
      </w:r>
      <w:r w:rsidR="00EC3210">
        <w:rPr>
          <w:rFonts w:ascii="Times New Roman" w:hAnsi="Times New Roman"/>
          <w:sz w:val="28"/>
        </w:rPr>
        <w:t xml:space="preserve">років </w:t>
      </w:r>
      <w:r>
        <w:rPr>
          <w:rFonts w:ascii="Times New Roman" w:hAnsi="Times New Roman"/>
          <w:sz w:val="28"/>
        </w:rPr>
        <w:t>розвивається туристично-рекреаційна галузь та сфера надання послуг.</w:t>
      </w:r>
    </w:p>
    <w:p w:rsidR="00746E04" w:rsidRDefault="004B74F6" w:rsidP="00A4774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Економіку в терит</w:t>
      </w:r>
      <w:r w:rsidR="00944444">
        <w:rPr>
          <w:rFonts w:ascii="Times New Roman" w:hAnsi="Times New Roman"/>
          <w:sz w:val="28"/>
        </w:rPr>
        <w:t>оріальній  громаді</w:t>
      </w:r>
      <w:r>
        <w:rPr>
          <w:rFonts w:ascii="Times New Roman" w:hAnsi="Times New Roman"/>
          <w:sz w:val="28"/>
        </w:rPr>
        <w:t xml:space="preserve"> на сьогодні можна охарактеризувати як</w:t>
      </w:r>
      <w:r w:rsidR="00B4148B">
        <w:rPr>
          <w:rFonts w:ascii="Times New Roman" w:hAnsi="Times New Roman"/>
          <w:sz w:val="28"/>
        </w:rPr>
        <w:t xml:space="preserve"> торгівельну</w:t>
      </w:r>
      <w:r>
        <w:rPr>
          <w:rFonts w:ascii="Times New Roman" w:hAnsi="Times New Roman"/>
          <w:sz w:val="28"/>
        </w:rPr>
        <w:t>,</w:t>
      </w:r>
      <w:r w:rsidR="005E437B">
        <w:rPr>
          <w:rFonts w:ascii="Times New Roman" w:hAnsi="Times New Roman"/>
          <w:sz w:val="28"/>
        </w:rPr>
        <w:t xml:space="preserve"> та</w:t>
      </w:r>
      <w:r>
        <w:rPr>
          <w:rFonts w:ascii="Times New Roman" w:hAnsi="Times New Roman"/>
          <w:sz w:val="28"/>
        </w:rPr>
        <w:t xml:space="preserve"> зі значними темпами розвитку туристично-рекреаційної галузі.</w:t>
      </w:r>
    </w:p>
    <w:p w:rsidR="00A4774C" w:rsidRDefault="005E437B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</w:t>
      </w:r>
      <w:r w:rsidR="004B74F6">
        <w:rPr>
          <w:sz w:val="28"/>
        </w:rPr>
        <w:t>озділ 6.</w:t>
      </w:r>
    </w:p>
    <w:p w:rsidR="00A4774C" w:rsidRDefault="004B74F6" w:rsidP="00A4774C">
      <w:pPr>
        <w:pStyle w:val="2"/>
        <w:widowControl w:val="0"/>
        <w:spacing w:line="240" w:lineRule="auto"/>
        <w:ind w:left="0" w:firstLine="567"/>
        <w:rPr>
          <w:sz w:val="28"/>
        </w:rPr>
      </w:pPr>
      <w:r>
        <w:rPr>
          <w:sz w:val="28"/>
        </w:rPr>
        <w:t>«Моніторинг просторових зв’язків та транспортної мобільності»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Рахівська територіальна громада межує: на півночі з </w:t>
      </w:r>
      <w:proofErr w:type="spellStart"/>
      <w:r>
        <w:rPr>
          <w:sz w:val="28"/>
        </w:rPr>
        <w:t>Ясінською</w:t>
      </w:r>
      <w:proofErr w:type="spellEnd"/>
      <w:r>
        <w:rPr>
          <w:sz w:val="28"/>
        </w:rPr>
        <w:t xml:space="preserve"> територіальною громадою, на  сході з </w:t>
      </w:r>
      <w:proofErr w:type="spellStart"/>
      <w:r>
        <w:rPr>
          <w:sz w:val="28"/>
        </w:rPr>
        <w:t>Богданською</w:t>
      </w:r>
      <w:proofErr w:type="spellEnd"/>
      <w:r>
        <w:rPr>
          <w:sz w:val="28"/>
        </w:rPr>
        <w:t xml:space="preserve"> територіальною громадою, на заході - з </w:t>
      </w:r>
      <w:proofErr w:type="spellStart"/>
      <w:r>
        <w:rPr>
          <w:sz w:val="28"/>
        </w:rPr>
        <w:t>Великобичківською</w:t>
      </w:r>
      <w:proofErr w:type="spellEnd"/>
      <w:r>
        <w:rPr>
          <w:sz w:val="28"/>
        </w:rPr>
        <w:t xml:space="preserve"> територіальною громадою і на півдні – з Республікою Румунія (повіт </w:t>
      </w:r>
      <w:proofErr w:type="spellStart"/>
      <w:r>
        <w:rPr>
          <w:sz w:val="28"/>
        </w:rPr>
        <w:t>Марамуреш</w:t>
      </w:r>
      <w:proofErr w:type="spellEnd"/>
      <w:r>
        <w:rPr>
          <w:sz w:val="28"/>
        </w:rPr>
        <w:t xml:space="preserve">). </w:t>
      </w:r>
    </w:p>
    <w:p w:rsidR="00746E04" w:rsidRDefault="004B74F6" w:rsidP="00A4774C">
      <w:pPr>
        <w:pStyle w:val="a3"/>
        <w:widowControl w:val="0"/>
        <w:ind w:left="0" w:right="123" w:firstLine="566"/>
        <w:rPr>
          <w:sz w:val="28"/>
        </w:rPr>
      </w:pPr>
      <w:r>
        <w:rPr>
          <w:sz w:val="28"/>
        </w:rPr>
        <w:t>На території Рахівської територіальної громади, в с. Ділове, розташований географічний центр Європи.</w:t>
      </w:r>
    </w:p>
    <w:p w:rsidR="00746E04" w:rsidRDefault="004B74F6" w:rsidP="00A4774C">
      <w:pPr>
        <w:pStyle w:val="a3"/>
        <w:widowControl w:val="0"/>
        <w:ind w:left="0" w:right="122" w:firstLine="427"/>
        <w:rPr>
          <w:sz w:val="28"/>
        </w:rPr>
      </w:pPr>
      <w:r>
        <w:rPr>
          <w:sz w:val="28"/>
        </w:rPr>
        <w:t>У  територіальній громаді здійснюються    приміські автобусні перевезення пасажирів на маршрутах загального користування.</w:t>
      </w:r>
    </w:p>
    <w:p w:rsidR="00746E04" w:rsidRDefault="004B74F6" w:rsidP="00A4774C">
      <w:pPr>
        <w:pStyle w:val="a3"/>
        <w:widowControl w:val="0"/>
        <w:ind w:left="0" w:firstLine="567"/>
        <w:rPr>
          <w:sz w:val="28"/>
        </w:rPr>
      </w:pPr>
      <w:r>
        <w:rPr>
          <w:sz w:val="28"/>
        </w:rPr>
        <w:t>Рівень безпеки дорожнього руху хороший; заторові явища на вулицях відсутні.</w:t>
      </w:r>
    </w:p>
    <w:p w:rsidR="00746E04" w:rsidRDefault="004B74F6" w:rsidP="00A4774C">
      <w:pPr>
        <w:pStyle w:val="a3"/>
        <w:widowControl w:val="0"/>
        <w:ind w:left="0" w:firstLine="567"/>
        <w:rPr>
          <w:sz w:val="28"/>
        </w:rPr>
      </w:pPr>
      <w:r>
        <w:rPr>
          <w:sz w:val="28"/>
        </w:rPr>
        <w:t>Переважно мешканці користуються легковим автомобільним транспортом.</w:t>
      </w:r>
    </w:p>
    <w:p w:rsidR="00746E04" w:rsidRDefault="00746E04" w:rsidP="00A4774C">
      <w:pPr>
        <w:pStyle w:val="a3"/>
        <w:widowControl w:val="0"/>
        <w:ind w:left="0"/>
        <w:jc w:val="left"/>
        <w:rPr>
          <w:sz w:val="28"/>
        </w:rPr>
      </w:pPr>
    </w:p>
    <w:p w:rsidR="00A4774C" w:rsidRDefault="00A4774C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</w:t>
      </w:r>
      <w:r w:rsidR="004B74F6">
        <w:rPr>
          <w:sz w:val="28"/>
        </w:rPr>
        <w:t xml:space="preserve">озділ 7. 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«Моніторинг інфраструктури»</w:t>
      </w:r>
    </w:p>
    <w:p w:rsidR="00746E04" w:rsidRDefault="004B74F6" w:rsidP="00A4774C">
      <w:pPr>
        <w:pStyle w:val="a3"/>
        <w:widowControl w:val="0"/>
        <w:ind w:left="0" w:right="125" w:firstLine="566"/>
        <w:rPr>
          <w:sz w:val="28"/>
        </w:rPr>
      </w:pPr>
      <w:r>
        <w:rPr>
          <w:sz w:val="28"/>
        </w:rPr>
        <w:t xml:space="preserve">Транспортна інфраструктура Рахівської територіальної громади представлена залізничним та автомобільним транспортом. 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Рахівська територіальна громада через своє специфічне географічне положення має одну з найнижчих в Закарпатській області </w:t>
      </w:r>
      <w:proofErr w:type="spellStart"/>
      <w:r>
        <w:rPr>
          <w:sz w:val="28"/>
        </w:rPr>
        <w:t>щільностей</w:t>
      </w:r>
      <w:proofErr w:type="spellEnd"/>
      <w:r>
        <w:rPr>
          <w:sz w:val="28"/>
        </w:rPr>
        <w:t xml:space="preserve"> автомобільних доріг. </w:t>
      </w:r>
    </w:p>
    <w:p w:rsidR="00746E04" w:rsidRDefault="004B74F6" w:rsidP="00A4774C">
      <w:pPr>
        <w:pStyle w:val="a3"/>
        <w:widowControl w:val="0"/>
        <w:ind w:left="0" w:right="125" w:firstLine="566"/>
        <w:rPr>
          <w:sz w:val="28"/>
        </w:rPr>
      </w:pPr>
      <w:r>
        <w:rPr>
          <w:sz w:val="28"/>
        </w:rPr>
        <w:t xml:space="preserve">Через територію громади походять дороги: національна державного значення Н-09 Мукачеве - </w:t>
      </w:r>
      <w:proofErr w:type="spellStart"/>
      <w:r>
        <w:rPr>
          <w:sz w:val="28"/>
        </w:rPr>
        <w:t>Рахiв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Богородчани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Iвано-Франкiвськ</w:t>
      </w:r>
      <w:proofErr w:type="spellEnd"/>
      <w:r>
        <w:rPr>
          <w:sz w:val="28"/>
        </w:rPr>
        <w:t xml:space="preserve"> - Рогатин - </w:t>
      </w:r>
      <w:proofErr w:type="spellStart"/>
      <w:r>
        <w:rPr>
          <w:sz w:val="28"/>
        </w:rPr>
        <w:t>Бiбрка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Львiв</w:t>
      </w:r>
      <w:proofErr w:type="spellEnd"/>
      <w:r>
        <w:rPr>
          <w:sz w:val="28"/>
        </w:rPr>
        <w:t>, місцевого значення - обласні (О-07-09-04 Рахів–Богдан–Луги,) та районні.</w:t>
      </w:r>
    </w:p>
    <w:p w:rsidR="00746E04" w:rsidRDefault="004B74F6" w:rsidP="00A4774C">
      <w:pPr>
        <w:pStyle w:val="a3"/>
        <w:widowControl w:val="0"/>
        <w:ind w:left="0" w:right="125" w:firstLine="567"/>
        <w:rPr>
          <w:sz w:val="28"/>
        </w:rPr>
      </w:pPr>
      <w:r>
        <w:rPr>
          <w:sz w:val="28"/>
        </w:rPr>
        <w:t xml:space="preserve">Головною транспортною віссю територіальної громади є автодорога Н-09 Мукачеве - </w:t>
      </w:r>
      <w:proofErr w:type="spellStart"/>
      <w:r>
        <w:rPr>
          <w:sz w:val="28"/>
        </w:rPr>
        <w:t>Рахiв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Богородчани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Iвано-Франкiвськ</w:t>
      </w:r>
      <w:proofErr w:type="spellEnd"/>
      <w:r>
        <w:rPr>
          <w:sz w:val="28"/>
        </w:rPr>
        <w:t xml:space="preserve"> - Рогатин - </w:t>
      </w:r>
      <w:proofErr w:type="spellStart"/>
      <w:r>
        <w:rPr>
          <w:sz w:val="28"/>
        </w:rPr>
        <w:t>Бiбрка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Львiв</w:t>
      </w:r>
      <w:proofErr w:type="spellEnd"/>
      <w:r>
        <w:rPr>
          <w:sz w:val="28"/>
        </w:rPr>
        <w:t xml:space="preserve">, яка починається в с. Ділове і закінчується в с. Білин. Автодорога проходить через такі населені пункти (без об’їзних ділянок) с. Ділове, с. </w:t>
      </w:r>
      <w:proofErr w:type="spellStart"/>
      <w:r>
        <w:rPr>
          <w:sz w:val="28"/>
        </w:rPr>
        <w:t>Костилівка</w:t>
      </w:r>
      <w:proofErr w:type="spellEnd"/>
      <w:r>
        <w:rPr>
          <w:sz w:val="28"/>
        </w:rPr>
        <w:t>, м. Рахів, с. Білин. Протяжність автодороги через населені пункти складає орієнтовно 6,94 % всього відрізку ділянки Н-09 на території громади.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Через територію громади проходить </w:t>
      </w:r>
      <w:proofErr w:type="spellStart"/>
      <w:r>
        <w:rPr>
          <w:sz w:val="28"/>
        </w:rPr>
        <w:t>неелектрифікована</w:t>
      </w:r>
      <w:proofErr w:type="spellEnd"/>
      <w:r>
        <w:rPr>
          <w:sz w:val="28"/>
        </w:rPr>
        <w:t xml:space="preserve"> одноколійна залізнична колія </w:t>
      </w:r>
      <w:proofErr w:type="spellStart"/>
      <w:r>
        <w:rPr>
          <w:sz w:val="28"/>
        </w:rPr>
        <w:t>Івано-Франківськ–Рахів–Ділове-</w:t>
      </w:r>
      <w:proofErr w:type="spellEnd"/>
      <w:r>
        <w:rPr>
          <w:sz w:val="28"/>
        </w:rPr>
        <w:t xml:space="preserve"> залізничний пункт пропуску Валя </w:t>
      </w:r>
      <w:proofErr w:type="spellStart"/>
      <w:r>
        <w:rPr>
          <w:sz w:val="28"/>
        </w:rPr>
        <w:t>Вишеулуй</w:t>
      </w:r>
      <w:proofErr w:type="spellEnd"/>
      <w:r>
        <w:rPr>
          <w:sz w:val="28"/>
        </w:rPr>
        <w:t xml:space="preserve"> (Румунія).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>Протяжність залізничної колії по території громади складає 30 км. Пасажирські станції розміщені в с. Білин, м.</w:t>
      </w:r>
      <w:r w:rsidR="00B4148B">
        <w:rPr>
          <w:sz w:val="28"/>
        </w:rPr>
        <w:t xml:space="preserve"> </w:t>
      </w:r>
      <w:r>
        <w:rPr>
          <w:sz w:val="28"/>
        </w:rPr>
        <w:t>Рахів,</w:t>
      </w:r>
      <w:r w:rsidR="00B4148B">
        <w:rPr>
          <w:sz w:val="28"/>
        </w:rPr>
        <w:t xml:space="preserve"> с. </w:t>
      </w:r>
      <w:proofErr w:type="spellStart"/>
      <w:r w:rsidR="00B4148B">
        <w:rPr>
          <w:sz w:val="28"/>
        </w:rPr>
        <w:t>Костилівка</w:t>
      </w:r>
      <w:proofErr w:type="spellEnd"/>
      <w:r w:rsidR="00B4148B">
        <w:rPr>
          <w:sz w:val="28"/>
        </w:rPr>
        <w:t>,</w:t>
      </w:r>
      <w:r>
        <w:rPr>
          <w:sz w:val="28"/>
        </w:rPr>
        <w:t xml:space="preserve"> с.</w:t>
      </w:r>
      <w:r w:rsidR="00B4148B">
        <w:rPr>
          <w:sz w:val="28"/>
        </w:rPr>
        <w:t xml:space="preserve"> </w:t>
      </w:r>
      <w:r>
        <w:rPr>
          <w:sz w:val="28"/>
        </w:rPr>
        <w:t xml:space="preserve">Ділове. 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proofErr w:type="spellStart"/>
      <w:r>
        <w:rPr>
          <w:sz w:val="28"/>
        </w:rPr>
        <w:t>Заліничні</w:t>
      </w:r>
      <w:proofErr w:type="spellEnd"/>
      <w:r>
        <w:rPr>
          <w:sz w:val="28"/>
        </w:rPr>
        <w:t xml:space="preserve"> колії одноколійні не електрифіковані шириною колії 1524 мм. </w:t>
      </w:r>
    </w:p>
    <w:p w:rsidR="00746E04" w:rsidRPr="0041689B" w:rsidRDefault="004B74F6" w:rsidP="00A4774C">
      <w:pPr>
        <w:pStyle w:val="a3"/>
        <w:widowControl w:val="0"/>
        <w:ind w:left="0" w:right="125" w:firstLine="567"/>
        <w:rPr>
          <w:sz w:val="28"/>
        </w:rPr>
      </w:pPr>
      <w:r>
        <w:rPr>
          <w:sz w:val="28"/>
        </w:rPr>
        <w:t xml:space="preserve">Вантажопотік залізниці за останні роки суттєво знизився, на сьогодні </w:t>
      </w:r>
      <w:r>
        <w:rPr>
          <w:sz w:val="28"/>
        </w:rPr>
        <w:lastRenderedPageBreak/>
        <w:t>залізниця не відіграє суттєвого значення у вантажоперевезеннях</w:t>
      </w:r>
      <w:r w:rsidR="0041689B">
        <w:rPr>
          <w:sz w:val="28"/>
        </w:rPr>
        <w:t>.</w:t>
      </w:r>
    </w:p>
    <w:p w:rsidR="00746E04" w:rsidRDefault="00746E04" w:rsidP="00A4774C">
      <w:pPr>
        <w:pStyle w:val="a3"/>
        <w:widowControl w:val="0"/>
        <w:ind w:left="0" w:right="125" w:firstLine="566"/>
        <w:rPr>
          <w:sz w:val="28"/>
        </w:rPr>
      </w:pPr>
    </w:p>
    <w:p w:rsidR="00A4774C" w:rsidRDefault="00A4774C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</w:t>
      </w:r>
      <w:r w:rsidR="004B74F6">
        <w:rPr>
          <w:sz w:val="28"/>
        </w:rPr>
        <w:t>озділ 8.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jc w:val="center"/>
        <w:rPr>
          <w:i w:val="0"/>
          <w:sz w:val="28"/>
        </w:rPr>
      </w:pPr>
      <w:r>
        <w:rPr>
          <w:sz w:val="28"/>
        </w:rPr>
        <w:t xml:space="preserve"> «Моніторинг реалізації містобудівної документації</w:t>
      </w:r>
      <w:r>
        <w:rPr>
          <w:i w:val="0"/>
          <w:sz w:val="28"/>
        </w:rPr>
        <w:t>»</w:t>
      </w:r>
    </w:p>
    <w:p w:rsidR="00746E04" w:rsidRDefault="004B74F6" w:rsidP="00A4774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Провівши аналіз існуючої містобудівної документації, наявної на населені пункти Рахівської територіальної громади, відділ архітектури та містобудування  надає інформацію по генеральних планах міста та сіл громад:</w:t>
      </w:r>
    </w:p>
    <w:p w:rsidR="00746E04" w:rsidRDefault="00746E04">
      <w:pPr>
        <w:ind w:firstLine="567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92"/>
        <w:gridCol w:w="992"/>
        <w:gridCol w:w="986"/>
      </w:tblGrid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 документа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Кількість аркушів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Формат</w:t>
            </w:r>
          </w:p>
        </w:tc>
      </w:tr>
      <w:tr w:rsidR="00746E04">
        <w:trPr>
          <w:trHeight w:val="527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Рахівська територіальна громада</w:t>
            </w:r>
          </w:p>
        </w:tc>
      </w:tr>
      <w:tr w:rsidR="00746E04">
        <w:trPr>
          <w:trHeight w:val="421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м. Рахів. Генеральний план - 2021 р.</w:t>
            </w:r>
          </w:p>
        </w:tc>
      </w:tr>
      <w:tr w:rsidR="00746E04">
        <w:trPr>
          <w:trHeight w:val="37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Рішення Рахівської м/р про затвердження генплану від 18.03.2021 № 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розташування м. Рахів в системі розселення 1:125000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існуючого використання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існуючих планувальних обмежень та інженерно-будівельної</w:t>
            </w:r>
          </w:p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оцінки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(основне креслення)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проектних планувальних обмежень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Схема вулично-дорожньої мережі, міського та зовнішнього транспорту 1:5000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інженерного обладнання території. Енергопостачання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інженерної підготовки та захисту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вертикального планування та дощової каналізації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trHeight w:val="320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с. Білин. Генеральний план - 2020 р.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righ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Білинської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затвердження Генерального плану с. Білин від 22.12.2017 р. № 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електр</w:t>
            </w:r>
            <w:proofErr w:type="spellEnd"/>
            <w:r>
              <w:rPr>
                <w:rFonts w:ascii="Times New Roman" w:hAnsi="Times New Roman"/>
                <w:sz w:val="20"/>
              </w:rPr>
              <w:t>. варіант</w:t>
            </w:r>
          </w:p>
        </w:tc>
      </w:tr>
      <w:tr w:rsidR="00746E04">
        <w:trPr>
          <w:trHeight w:val="36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4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Рішення про затвердження Плану зонування території с. Білин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7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плану зонування території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trHeight w:val="395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Костилівка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 Генеральний план - 1973 р.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9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</w:t>
            </w:r>
            <w:proofErr w:type="spellStart"/>
            <w:r>
              <w:rPr>
                <w:rFonts w:ascii="Times New Roman" w:hAnsi="Times New Roman"/>
                <w:sz w:val="20"/>
              </w:rPr>
              <w:t>Костилівка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придатним для подальшого використання від 05.04.2013 р. № 325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56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водопостачання, каналізації і теплопостачання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Планування і забудова центральної частини села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trHeight w:val="432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80"/>
              <w:ind w:left="314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Вільховатий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Костилівська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с/р). 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</w:t>
            </w:r>
            <w:proofErr w:type="spellStart"/>
            <w:r>
              <w:rPr>
                <w:rFonts w:ascii="Times New Roman" w:hAnsi="Times New Roman"/>
                <w:sz w:val="20"/>
              </w:rPr>
              <w:t>Вільховатий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сільської ради придатним для подальшого використання від 05.04.2013 р. № 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вертикального планування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зовнішніх інженерних мереж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Профілі вулиць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trHeight w:val="441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с. Ділове. Генеральний план та план зонування - 2018 р.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затвердження Генерального плану с. Ділове зі змінами, Рахівського району, Закарпатської області від 23.12.2019 р. № 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розташування села в системі розселення М 1:50000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6" w:lineRule="auto"/>
              <w:ind w:right="2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План існуючого використання території. Схема існуючих </w:t>
            </w:r>
            <w:proofErr w:type="spellStart"/>
            <w:r>
              <w:rPr>
                <w:rFonts w:ascii="Times New Roman" w:hAnsi="Times New Roman"/>
                <w:sz w:val="20"/>
              </w:rPr>
              <w:t>планувльних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обмежень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(основне креслення). Схема проектних планувальних обмежень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 перспективного розвитку населеного пункту б/м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2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вулично-дорожньої мережі, сільського та зовнішнього транспорту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інженерної підготовки та захисту території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інженерного обладнання території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просторового планування населеного пункту М 1:10000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3" w:line="264" w:lineRule="auto"/>
              <w:ind w:right="2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Пояснювальна записка до </w:t>
            </w:r>
            <w:proofErr w:type="spellStart"/>
            <w:r>
              <w:rPr>
                <w:rFonts w:ascii="Times New Roman" w:hAnsi="Times New Roman"/>
                <w:sz w:val="20"/>
              </w:rPr>
              <w:t>до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плану зонування території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зонування території за функціональним регламентом (базове зонування)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8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Схема зонування території за функціональним регламентом (базове зонування). Схема зонування за санітарно-гігієнічним регламентом. Схема зонування за природоохоронними та інженерно-геологічними регламентами. Схема зонування за </w:t>
            </w:r>
            <w:proofErr w:type="spellStart"/>
            <w:r>
              <w:rPr>
                <w:rFonts w:ascii="Times New Roman" w:hAnsi="Times New Roman"/>
                <w:sz w:val="20"/>
              </w:rPr>
              <w:t>історико-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архітектурними регламентами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Круглий. Схема зонування території за функціональним регламентом (базове зонування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Круглий. Схема зонування території за функціональним регламентом (базове зонування).</w:t>
            </w:r>
          </w:p>
          <w:p w:rsidR="00746E04" w:rsidRDefault="004B74F6">
            <w:pPr>
              <w:pStyle w:val="TableParagraph"/>
              <w:widowControl w:val="0"/>
              <w:spacing w:before="2" w:line="264" w:lineRule="auto"/>
              <w:ind w:right="1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Схема зонування за санітарно-гігієнічним регламентом. Схема зонування за природоохоронними та інженерно-геологічними регламентами. Схема зонування за </w:t>
            </w:r>
            <w:proofErr w:type="spellStart"/>
            <w:r>
              <w:rPr>
                <w:rFonts w:ascii="Times New Roman" w:hAnsi="Times New Roman"/>
                <w:sz w:val="20"/>
              </w:rPr>
              <w:t>історико-архітектурними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регламентами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365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с. Хмелів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Діловецька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с/р). Генеральний план - 1985 р.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Хмелів, </w:t>
            </w:r>
            <w:proofErr w:type="spellStart"/>
            <w:r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сільської ради придатним для подальшого використання                 від 29.03.2013 р. № 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32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вертикального планування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зовнішніх інженерних мереж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Карта інженерно-геологічних умов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Профілі вулиць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</w:tbl>
    <w:p w:rsidR="00746E04" w:rsidRDefault="00746E04">
      <w:pPr>
        <w:contextualSpacing/>
        <w:jc w:val="both"/>
        <w:rPr>
          <w:rFonts w:ascii="Times New Roman" w:hAnsi="Times New Roman"/>
          <w:sz w:val="28"/>
        </w:rPr>
      </w:pPr>
    </w:p>
    <w:p w:rsidR="00746E04" w:rsidRDefault="004B74F6" w:rsidP="00A4774C">
      <w:pPr>
        <w:pStyle w:val="1"/>
        <w:keepNext/>
        <w:keepLines/>
        <w:spacing w:line="240" w:lineRule="auto"/>
        <w:ind w:right="126" w:firstLine="566"/>
        <w:jc w:val="both"/>
        <w:rPr>
          <w:rFonts w:ascii="Times New Roman" w:hAnsi="Times New Roman"/>
          <w:b/>
          <w:i/>
          <w:color w:val="auto"/>
          <w:sz w:val="28"/>
        </w:rPr>
      </w:pPr>
      <w:r>
        <w:rPr>
          <w:sz w:val="26"/>
        </w:rPr>
        <w:tab/>
      </w:r>
      <w:proofErr w:type="spellStart"/>
      <w:r>
        <w:rPr>
          <w:rFonts w:ascii="Times New Roman" w:hAnsi="Times New Roman"/>
          <w:b/>
          <w:i/>
          <w:color w:val="auto"/>
          <w:sz w:val="28"/>
        </w:rPr>
        <w:t>Обгрунтування</w:t>
      </w:r>
      <w:proofErr w:type="spellEnd"/>
      <w:r>
        <w:rPr>
          <w:rFonts w:ascii="Times New Roman" w:hAnsi="Times New Roman"/>
          <w:b/>
          <w:i/>
          <w:color w:val="auto"/>
          <w:sz w:val="28"/>
        </w:rPr>
        <w:t xml:space="preserve"> необхідності внесення змін у містобудівну документацію за результатами містобудівного моніторингу.</w:t>
      </w:r>
    </w:p>
    <w:p w:rsidR="00746E04" w:rsidRDefault="004B74F6" w:rsidP="00A4774C">
      <w:pPr>
        <w:pStyle w:val="a4"/>
        <w:shd w:val="clear" w:color="auto" w:fill="FFFFFF"/>
        <w:spacing w:before="0" w:after="0"/>
        <w:ind w:firstLine="708"/>
        <w:jc w:val="both"/>
        <w:rPr>
          <w:sz w:val="26"/>
        </w:rPr>
      </w:pPr>
      <w:r>
        <w:rPr>
          <w:sz w:val="28"/>
        </w:rPr>
        <w:t xml:space="preserve">Більшість генеральних планів населених пунктів Рахівської територіальної громади не враховують потенціальних можливостей і потреб розвитку населеного пункту на сучасному етапі, у користуванні генеральними </w:t>
      </w:r>
      <w:r>
        <w:rPr>
          <w:sz w:val="28"/>
        </w:rPr>
        <w:lastRenderedPageBreak/>
        <w:t xml:space="preserve">планами виникають труднощі. Необхідно оновити та внести відповідні зміни у генеральні плани населених пунктів громад, де не розроблено нові генеральні плани. </w:t>
      </w:r>
    </w:p>
    <w:p w:rsidR="00746E04" w:rsidRDefault="004B74F6" w:rsidP="00A4774C">
      <w:pPr>
        <w:pStyle w:val="a3"/>
        <w:widowControl w:val="0"/>
        <w:ind w:left="0" w:right="120" w:firstLine="566"/>
        <w:rPr>
          <w:color w:val="333333"/>
          <w:sz w:val="28"/>
        </w:rPr>
      </w:pPr>
      <w:r>
        <w:rPr>
          <w:sz w:val="28"/>
        </w:rPr>
        <w:t xml:space="preserve">З метою забезпечення сталого розвитку Рахівської територіальної громади, виконання законів України </w:t>
      </w:r>
      <w:proofErr w:type="spellStart"/>
      <w:r>
        <w:rPr>
          <w:sz w:val="28"/>
        </w:rPr>
        <w:t>„Про</w:t>
      </w:r>
      <w:proofErr w:type="spellEnd"/>
      <w:r>
        <w:rPr>
          <w:sz w:val="28"/>
        </w:rPr>
        <w:t xml:space="preserve"> регулювання містобудівної діяльності”, </w:t>
      </w:r>
      <w:proofErr w:type="spellStart"/>
      <w:r>
        <w:rPr>
          <w:sz w:val="28"/>
        </w:rPr>
        <w:t>„Про</w:t>
      </w:r>
      <w:proofErr w:type="spellEnd"/>
      <w:r>
        <w:rPr>
          <w:sz w:val="28"/>
        </w:rPr>
        <w:t xml:space="preserve"> Державний земельний кадастр”, </w:t>
      </w:r>
      <w:bookmarkStart w:id="10" w:name="_GoBack"/>
      <w:r>
        <w:rPr>
          <w:sz w:val="28"/>
        </w:rPr>
        <w:t xml:space="preserve">постанови Кабінету Міністрів України  від 09.06.2021 р. № 632 </w:t>
      </w:r>
      <w:proofErr w:type="spellStart"/>
      <w:r>
        <w:rPr>
          <w:sz w:val="28"/>
        </w:rPr>
        <w:t>„Про</w:t>
      </w:r>
      <w:proofErr w:type="spellEnd"/>
      <w:r>
        <w:rPr>
          <w:sz w:val="28"/>
        </w:rPr>
        <w:t xml:space="preserve"> затвердження Порядку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території”</w:t>
      </w:r>
      <w:bookmarkEnd w:id="10"/>
      <w:r>
        <w:rPr>
          <w:sz w:val="28"/>
        </w:rPr>
        <w:t xml:space="preserve">, постанови Кабінету Міністрів України від 1 вересня 2021 р. № 926 </w:t>
      </w:r>
      <w:proofErr w:type="spellStart"/>
      <w:r>
        <w:rPr>
          <w:sz w:val="28"/>
        </w:rPr>
        <w:t>„Про</w:t>
      </w:r>
      <w:proofErr w:type="spellEnd"/>
      <w:r>
        <w:rPr>
          <w:sz w:val="28"/>
        </w:rPr>
        <w:t xml:space="preserve"> затвердження Порядку розроблення, оновлення, внесення змін та затвердження містобудівної документації” – Рахівській територіальній громаді необхідно розробити та затвердити </w:t>
      </w:r>
      <w:proofErr w:type="spellStart"/>
      <w:r>
        <w:rPr>
          <w:sz w:val="28"/>
        </w:rPr>
        <w:t>комлексний</w:t>
      </w:r>
      <w:proofErr w:type="spellEnd"/>
      <w:r>
        <w:rPr>
          <w:sz w:val="28"/>
        </w:rPr>
        <w:t xml:space="preserve"> план просторового розвитку території.</w:t>
      </w:r>
    </w:p>
    <w:p w:rsidR="00746E04" w:rsidRDefault="004B74F6" w:rsidP="00A4774C">
      <w:pPr>
        <w:pStyle w:val="a3"/>
        <w:widowControl w:val="0"/>
        <w:ind w:left="0" w:right="120" w:firstLine="566"/>
        <w:rPr>
          <w:sz w:val="28"/>
        </w:rPr>
      </w:pPr>
      <w:r>
        <w:rPr>
          <w:sz w:val="28"/>
          <w:shd w:val="clear" w:color="auto" w:fill="FFFFFF"/>
        </w:rPr>
        <w:t>Комплексний план розробляється та затверджується з метою забезпечення економічного розвитку територіальної громади з додержанням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 (за наявності).</w:t>
      </w:r>
    </w:p>
    <w:p w:rsidR="00746E04" w:rsidRDefault="00746E04" w:rsidP="00A4774C">
      <w:pPr>
        <w:spacing w:line="240" w:lineRule="auto"/>
        <w:rPr>
          <w:rFonts w:ascii="Times New Roman" w:hAnsi="Times New Roman"/>
          <w:sz w:val="28"/>
        </w:rPr>
      </w:pPr>
    </w:p>
    <w:sectPr w:rsidR="00746E04" w:rsidSect="00C072A8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46E04"/>
    <w:rsid w:val="001E770C"/>
    <w:rsid w:val="0041689B"/>
    <w:rsid w:val="00494F7B"/>
    <w:rsid w:val="004B74F6"/>
    <w:rsid w:val="00573D56"/>
    <w:rsid w:val="005E437B"/>
    <w:rsid w:val="0069125C"/>
    <w:rsid w:val="00723D35"/>
    <w:rsid w:val="00746E04"/>
    <w:rsid w:val="00845A0F"/>
    <w:rsid w:val="008923BE"/>
    <w:rsid w:val="009033AC"/>
    <w:rsid w:val="00944444"/>
    <w:rsid w:val="00A4774C"/>
    <w:rsid w:val="00B4148B"/>
    <w:rsid w:val="00BE34F6"/>
    <w:rsid w:val="00C072A8"/>
    <w:rsid w:val="00C83CD7"/>
    <w:rsid w:val="00E41EAC"/>
    <w:rsid w:val="00EC3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2A8"/>
  </w:style>
  <w:style w:type="paragraph" w:styleId="1">
    <w:name w:val="heading 1"/>
    <w:basedOn w:val="a"/>
    <w:next w:val="a"/>
    <w:rsid w:val="00C072A8"/>
    <w:pPr>
      <w:spacing w:before="240" w:after="0"/>
      <w:outlineLvl w:val="0"/>
    </w:pPr>
    <w:rPr>
      <w:color w:val="365F91"/>
      <w:sz w:val="32"/>
    </w:rPr>
  </w:style>
  <w:style w:type="paragraph" w:styleId="2">
    <w:name w:val="heading 2"/>
    <w:basedOn w:val="a"/>
    <w:rsid w:val="00C072A8"/>
    <w:pPr>
      <w:spacing w:after="0" w:line="295" w:lineRule="exact"/>
      <w:ind w:left="383"/>
      <w:jc w:val="both"/>
      <w:outlineLvl w:val="1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72A8"/>
    <w:pPr>
      <w:spacing w:after="0" w:line="240" w:lineRule="auto"/>
      <w:ind w:left="318"/>
      <w:jc w:val="both"/>
    </w:pPr>
    <w:rPr>
      <w:rFonts w:ascii="Times New Roman" w:hAnsi="Times New Roman"/>
      <w:sz w:val="26"/>
    </w:rPr>
  </w:style>
  <w:style w:type="paragraph" w:customStyle="1" w:styleId="Default">
    <w:name w:val="Default"/>
    <w:basedOn w:val="a"/>
    <w:rsid w:val="00C072A8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TableParagraph">
    <w:name w:val="Table Paragraph"/>
    <w:basedOn w:val="a"/>
    <w:rsid w:val="00C072A8"/>
    <w:pPr>
      <w:spacing w:after="0" w:line="240" w:lineRule="auto"/>
    </w:pPr>
  </w:style>
  <w:style w:type="paragraph" w:styleId="a4">
    <w:name w:val="Normal (Web)"/>
    <w:basedOn w:val="a"/>
    <w:rsid w:val="00C072A8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semiHidden/>
    <w:rsid w:val="00C072A8"/>
    <w:pPr>
      <w:spacing w:after="0" w:line="240" w:lineRule="auto"/>
    </w:pPr>
    <w:rPr>
      <w:rFonts w:ascii="Segoe UI" w:hAnsi="Segoe UI"/>
      <w:sz w:val="18"/>
    </w:rPr>
  </w:style>
  <w:style w:type="character" w:styleId="a7">
    <w:name w:val="line number"/>
    <w:basedOn w:val="a0"/>
    <w:semiHidden/>
    <w:rsid w:val="00C072A8"/>
  </w:style>
  <w:style w:type="character" w:styleId="a8">
    <w:name w:val="Hyperlink"/>
    <w:rsid w:val="00C072A8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sid w:val="00C072A8"/>
    <w:rPr>
      <w:rFonts w:ascii="Segoe UI" w:hAnsi="Segoe UI"/>
      <w:sz w:val="18"/>
    </w:rPr>
  </w:style>
  <w:style w:type="table" w:styleId="10">
    <w:name w:val="Table Simple 1"/>
    <w:basedOn w:val="a1"/>
    <w:rsid w:val="00C072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C072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038-17?find=1&amp;text=%D0%BC%D1%96%D1%81%D1%82%D0%BE%D0%B1%D1%83%D0%B4%D1%96%D0%B2%D0%BD%D0%B8%D0%B9+%D0%BC%D0%BE%D0%BD%D1%96%D1%82%D0%BE%D1%80%D0%B8%D0%BD%D0%B3" TargetMode="External"/><Relationship Id="rId5" Type="http://schemas.openxmlformats.org/officeDocument/2006/relationships/hyperlink" Target="https://zakon.rada.gov.ua/laws/show/3038-17?find=1&amp;text=%D0%BC%D1%96%D1%81%D1%82%D0%BE%D0%B1%D1%83%D0%B4%D1%96%D0%B2%D0%BD%D0%B8%D0%B9+%D0%BC%D0%BE%D0%BD%D1%96%D1%82%D0%BE%D1%80%D0%B8%D0%BD%D0%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10314</Words>
  <Characters>5880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2023-12-21T11:08:00Z</dcterms:created>
  <dcterms:modified xsi:type="dcterms:W3CDTF">2024-01-17T06:09:00Z</dcterms:modified>
</cp:coreProperties>
</file>