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92" w:rsidRPr="00E32992" w:rsidRDefault="00E32992" w:rsidP="00E3299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E32992" w:rsidRPr="00E32992" w:rsidRDefault="00E32992" w:rsidP="00E3299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E1A223" wp14:editId="3B15D3FC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>У К Р А Ї Н А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___ сесія восьмого скликання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____________ 2023 року  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bookmarkStart w:id="0" w:name="_GoBack"/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Про внесення змін в рішення виконавчого комітету 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від 13.07.2022 р. №64 «Про Програму підвищення 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спроможності та поліпшення умов несення служби у 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відділах та відділеннях інспекторів прикордонної 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служби на українсько-румунському державному кордоні 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(на ділянці відповідальності 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27 прикордонного загону)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 2022-2024 роки», із змінами 09.06.2023 р.</w:t>
      </w:r>
    </w:p>
    <w:bookmarkEnd w:id="0"/>
    <w:p w:rsidR="00E32992" w:rsidRPr="00E32992" w:rsidRDefault="00E32992" w:rsidP="00E329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NSimSun" w:hAnsi="Times New Roman" w:cs="Times New Roman"/>
          <w:bCs/>
          <w:color w:val="000000"/>
          <w:kern w:val="2"/>
          <w:sz w:val="28"/>
          <w:szCs w:val="28"/>
          <w:lang w:val="uk-UA"/>
        </w:rPr>
        <w:t>Керуючись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ст.26 Закону України «Про місцеве самоврядування в Україні», Рахівська міська рада</w:t>
      </w:r>
    </w:p>
    <w:p w:rsidR="00E32992" w:rsidRPr="00E32992" w:rsidRDefault="00E32992" w:rsidP="00E329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E32992" w:rsidRPr="00E32992" w:rsidRDefault="00E32992" w:rsidP="00E32992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ourier New" w:hAnsi="Times New Roman" w:cs="Times New Roman"/>
          <w:color w:val="000000"/>
          <w:sz w:val="28"/>
          <w:szCs w:val="28"/>
          <w:lang w:val="uk-UA"/>
        </w:rPr>
        <w:t>1.</w:t>
      </w: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Внести</w:t>
      </w:r>
      <w:proofErr w:type="spellEnd"/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зміни в рішення виконавчого комітету від 13.07.2022 р. №64 «Про Програму підвищення спроможності та поліпшення умов несення служби у відділах та відділеннях інспекторів прикордонної служби на українсько-румунському державному кордоні (на ділянці відповідальності 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27 прикордонного загону), на 2022-2024 роки» та викласти Програму у новій редакції, згідно додатку.</w:t>
      </w:r>
    </w:p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E32992" w:rsidRPr="00E32992" w:rsidRDefault="00E32992" w:rsidP="00E329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lang w:val="uk-UA"/>
        </w:rPr>
        <w:br w:type="page"/>
      </w:r>
    </w:p>
    <w:p w:rsidR="00E32992" w:rsidRPr="00E32992" w:rsidRDefault="00E32992" w:rsidP="00E32992">
      <w:pPr>
        <w:suppressAutoHyphens/>
        <w:spacing w:after="0" w:line="240" w:lineRule="auto"/>
        <w:ind w:firstLine="57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32992" w:rsidRPr="00E32992" w:rsidTr="00176C5B">
        <w:trPr>
          <w:trHeight w:val="1292"/>
          <w:jc w:val="right"/>
        </w:trPr>
        <w:tc>
          <w:tcPr>
            <w:tcW w:w="3267" w:type="dxa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br w:type="page"/>
            </w: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br w:type="page"/>
            </w: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br w:type="page"/>
            </w:r>
            <w:r w:rsidRPr="00E3299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br w:type="page"/>
            </w: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Додаток                                                                          до рішення міської ради  </w:t>
            </w: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-ї сесії 8-го скликання                                                                                              від _____ 2023 р.  №</w:t>
            </w:r>
          </w:p>
        </w:tc>
      </w:tr>
    </w:tbl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5"/>
          <w:szCs w:val="25"/>
          <w:lang w:val="uk-UA"/>
        </w:rPr>
      </w:pPr>
    </w:p>
    <w:p w:rsidR="00E32992" w:rsidRPr="00E32992" w:rsidRDefault="00E32992" w:rsidP="00E32992">
      <w:pPr>
        <w:suppressAutoHyphens/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ПРОГРАМА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підвищення спроможності та поліпшення умов несення служби у відділах та відділеннях інспекторів прикордонної служби на українсько-румунському державному кордоні (на ділянці відповідальності 27 прикордонного загону) на 2022-2024 роки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 зв’язку з ускладненим внутрішньополітичним становищем, з метою ефективної протидії незаконній міграції та незаконному обігу цигарок, інших товарів через Державний кордон України, підвищення спроможності підрозділів охорони кордону (відділів та відділень прикордонної служби) для виконання завдань з охорони державного кордону, а також поновленням призову на строкову військову службу до лав Державної прикордонної служби України виникла нагальна потреба в підготовці належних умов та поліпшенні умов несення служби у відділах та відділеннях інспекторів прикордонної служби на українсько-румунському державному кордоні (на ділянці відповідальності 27 прикордонного загону), розташованих на території Закарпатської області.</w:t>
      </w:r>
    </w:p>
    <w:p w:rsidR="00E32992" w:rsidRPr="00E32992" w:rsidRDefault="00E32992" w:rsidP="00E32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Програму підвищення спроможності та поліпшення умов несення служби у відділах та відділеннях інспекторів прикордонної служби на українсько-румунському державному кордоні (на ділянці відповідальності 27 прикордонного загону), на 2022-2024 роки (далі – Програма) розроблено відповідно до Конституції України, законів України «Про державний кордон України», «Про Державну прикордонну службу України».</w:t>
      </w:r>
    </w:p>
    <w:p w:rsidR="00E32992" w:rsidRPr="00E32992" w:rsidRDefault="00E32992" w:rsidP="00E32992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32992" w:rsidRPr="00E32992" w:rsidRDefault="00E32992" w:rsidP="00E32992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2. Мета Програми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Основною метою Програми є розвиток та поліпшення існуючої інфраструктури відділів та відділень інспекторів прикордонної служби, постачання сучасного обладнання, поліпшення взаємодії прикордонних відомств суміжних держав, підвищення спроможності підрозділів Державної прикордонної служби України у пропуску через державний кордон осіб, транспортних засобів та вантажів у пунктах пропуску, ефективній протидії незаконній міграції та незаконному обігу тютюнових виробів, інших товарів через Державний кордон України.</w:t>
      </w:r>
    </w:p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br w:type="page"/>
      </w:r>
    </w:p>
    <w:p w:rsidR="00E32992" w:rsidRPr="00E32992" w:rsidRDefault="00E32992" w:rsidP="00E32992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tabs>
          <w:tab w:val="left" w:pos="54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3.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Обґрунтування шляхів і засобів розв’язання проблем, обсягів </w:t>
      </w: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br/>
        <w:t>та джерел фінансування, строки та етапи виконання Програми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Відділи та відділення інспекторів прикордонної служби, які потребують переоснащення, розташовані у Закарпатській області у зоні відповідальності 27 прикордонного загону Державної прикордонної служби України.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Для забезпечення надійної охорони державного кордону, підтримання транспортних засобів та спеціальної техніки в постійній бойовій готовності, швидкого реагування на зміни та в зв’язку з надходженням новітніх зразків автомобільної техніки потребує забезпечення ремонтними матеріалами та запчастинами для ремонту техніки.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Необхідно закупити технічні засоби охорони кордону для більш якісного виконання завдань з охорони Державного кордону України.</w:t>
      </w:r>
    </w:p>
    <w:p w:rsidR="00E32992" w:rsidRPr="00E32992" w:rsidRDefault="00E32992" w:rsidP="00E32992">
      <w:pPr>
        <w:keepNext/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Програма передбачає проведення протягом 2022-2024 років заходів, спрямованих на поліпшення умов несення служби у відділах та відділеннях інспекторів прикордонної служби, </w:t>
      </w: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закупівлю спеціальних технічних засобів охорони кордону.</w:t>
      </w:r>
    </w:p>
    <w:p w:rsidR="00E32992" w:rsidRPr="00E32992" w:rsidRDefault="00E32992" w:rsidP="00E32992">
      <w:pPr>
        <w:keepNext/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Фінансування заходів Програми здійснюватиметься за рахунок коштів міського бюджету для виконання Програми на відповідний період.</w:t>
      </w:r>
    </w:p>
    <w:p w:rsidR="00E32992" w:rsidRPr="00E32992" w:rsidRDefault="00E32992" w:rsidP="00E32992">
      <w:pPr>
        <w:keepNext/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Паспорт Програми, ресурсне забезпечення наведено у додатках 1, 2 до Програми.</w:t>
      </w:r>
    </w:p>
    <w:p w:rsidR="00E32992" w:rsidRPr="00E32992" w:rsidRDefault="00E32992" w:rsidP="00E32992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4.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Перелік завдань і заходів Програми та результативні показники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keepNext/>
        <w:widowControl w:val="0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Основними завданнями та заходами Програми є: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розвиток та поліпшення умов несення служби у відділах та відділеннях інспекторів прикордонної служби та пунктах пропуску через державний кордон;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постачання сучасного обладнання;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поліпшення взаємодії прикордонних відомств суміжних держав з метою підвищення спроможності підрозділів Державної прикордонної служби України у пропуску через державний кордон осіб, транспортних засобів та вантажів у пунктах пропуску, ефективній протидії незаконній міграції та незаконному обігу цигарок, інших товарів через Державний кордон України.</w:t>
      </w:r>
    </w:p>
    <w:p w:rsidR="00E32992" w:rsidRPr="00E32992" w:rsidRDefault="00E32992" w:rsidP="00E32992">
      <w:pPr>
        <w:keepNext/>
        <w:widowControl w:val="0"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Очікуваними результатами виконання заходів Програми є: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  <w:t>підвищення можливостей прикордонних відділів та відділень інспекторів прикордонної служби у забезпеченні прикордонної безпеки у регіоні;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  <w:t>створення кращої мотивації для персоналу Державної прикордонної служби України, щоб служити у прикордонних підрозділах на українсько-румунському державному кордоні (на ділянці 27 прикордонного загону);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  <w:t>встановлення європейських стандартів у методології захисту кордону, належній підтримці та матеріально-технічному забезпеченні;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  <w:t>підвищення прикордонної привабливості, доступності та прозорості для різноманітних юридичних контрактів та співробітництва;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забезпечення більш комфортних умов для персоналу, який відповідальний за захист кордону, та для людей, що подорожують через </w:t>
      </w: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  <w:t>кордон;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  <w:t>досягнення ефективності та прозорості контрольних процедур, запобігання незаконній міграції, торгівлі та протидії організованій злочинності на кордоні.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</w:p>
    <w:p w:rsidR="00E32992" w:rsidRPr="00E32992" w:rsidRDefault="00E32992" w:rsidP="00E3299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bidi="uk-UA"/>
        </w:rPr>
      </w:pP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5. Напрями діяльності та заходи Програми</w:t>
      </w:r>
    </w:p>
    <w:p w:rsidR="00E32992" w:rsidRPr="00E32992" w:rsidRDefault="00E32992" w:rsidP="00E32992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Напрями діяльності та заходи Програми наведено у додатку 3 до Програми.</w:t>
      </w:r>
    </w:p>
    <w:p w:rsidR="00E32992" w:rsidRPr="00E32992" w:rsidRDefault="00E32992" w:rsidP="00E3299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E32992" w:rsidRPr="00E32992" w:rsidRDefault="00E32992" w:rsidP="00E32992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6. Координація та контроль за ходом виконанням Програми</w:t>
      </w:r>
    </w:p>
    <w:p w:rsidR="00E32992" w:rsidRPr="00E32992" w:rsidRDefault="00E32992" w:rsidP="00E329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Організацію та координацію виконання Програми здійснює Рахівська міська рада.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ind w:firstLine="7938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lang w:val="uk-UA"/>
        </w:rPr>
        <w:t>Додаток 1</w:t>
      </w:r>
    </w:p>
    <w:p w:rsidR="00E32992" w:rsidRPr="00E32992" w:rsidRDefault="00E32992" w:rsidP="00E32992">
      <w:pPr>
        <w:spacing w:after="0" w:line="240" w:lineRule="auto"/>
        <w:ind w:firstLine="7938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ПАСПОРТ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Програми підвищення спроможності та поліпшення умов несення служби у відділах та відділеннях інспекторів прикордонної служби на українсько-румунському державному кордоні (на ділянці відповідальності 27 прикордонного загону), на 2022-2024 роки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10"/>
        <w:gridCol w:w="5547"/>
      </w:tblGrid>
      <w:tr w:rsidR="00E32992" w:rsidRPr="00E32992" w:rsidTr="00176C5B">
        <w:trPr>
          <w:trHeight w:val="5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27 прикордонний загін</w:t>
            </w:r>
          </w:p>
        </w:tc>
      </w:tr>
      <w:tr w:rsidR="00E32992" w:rsidRPr="00E32992" w:rsidTr="00176C5B">
        <w:trPr>
          <w:trHeight w:val="100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Підстава для розроблення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Закони України «Про місцеве самоврядування в Україні», «Про державний кордон України», «Про Державну прикордонну службу України»  </w:t>
            </w:r>
          </w:p>
        </w:tc>
      </w:tr>
      <w:tr w:rsidR="00E32992" w:rsidRPr="00E32992" w:rsidTr="00176C5B">
        <w:trPr>
          <w:trHeight w:val="4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27 прикордонний загін</w:t>
            </w:r>
          </w:p>
        </w:tc>
      </w:tr>
      <w:tr w:rsidR="00E32992" w:rsidRPr="00E32992" w:rsidTr="00176C5B">
        <w:trPr>
          <w:trHeight w:val="5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Виконавчий апарат Рахівської міської ради</w:t>
            </w:r>
          </w:p>
        </w:tc>
      </w:tr>
      <w:tr w:rsidR="00E32992" w:rsidRPr="00E32992" w:rsidTr="00176C5B">
        <w:trPr>
          <w:trHeight w:val="5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27 прикордонний загін, виконавчий комітет міської ради</w:t>
            </w:r>
          </w:p>
        </w:tc>
      </w:tr>
      <w:tr w:rsidR="00E32992" w:rsidRPr="00E32992" w:rsidTr="00176C5B">
        <w:trPr>
          <w:trHeight w:val="5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2022-2024 роки</w:t>
            </w:r>
          </w:p>
        </w:tc>
      </w:tr>
      <w:tr w:rsidR="00E32992" w:rsidRPr="00E32992" w:rsidTr="00176C5B">
        <w:trPr>
          <w:trHeight w:val="109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Місцевий бюджет, інші джерела фінансування, не заборонені чинним законодавством</w:t>
            </w:r>
          </w:p>
        </w:tc>
      </w:tr>
      <w:tr w:rsidR="00E32992" w:rsidRPr="00E32992" w:rsidTr="00176C5B">
        <w:trPr>
          <w:trHeight w:val="3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 тому числі:</w:t>
            </w:r>
          </w:p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2022 рік</w:t>
            </w:r>
          </w:p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2023 рік</w:t>
            </w:r>
          </w:p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700,0 тис. гривень</w:t>
            </w: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100,0 тис. гривень</w:t>
            </w: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500,0 тис. гривень</w:t>
            </w:r>
          </w:p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100,0 тис. гривень</w:t>
            </w:r>
          </w:p>
        </w:tc>
      </w:tr>
    </w:tbl>
    <w:p w:rsidR="00E32992" w:rsidRPr="00E32992" w:rsidRDefault="00E32992" w:rsidP="00E32992">
      <w:pPr>
        <w:keepNext/>
        <w:spacing w:after="0" w:line="240" w:lineRule="auto"/>
        <w:ind w:hanging="1545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bookmarkStart w:id="1" w:name="_Toc253665045"/>
      <w:bookmarkStart w:id="2" w:name="_Toc252795590"/>
      <w:bookmarkStart w:id="3" w:name="_Toc252465640"/>
      <w:bookmarkStart w:id="4" w:name="_Toc252462746"/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page"/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7905"/>
        <w:gridCol w:w="1984"/>
      </w:tblGrid>
      <w:tr w:rsidR="00E32992" w:rsidRPr="00E32992" w:rsidTr="00176C5B">
        <w:tc>
          <w:tcPr>
            <w:tcW w:w="7905" w:type="dxa"/>
          </w:tcPr>
          <w:p w:rsidR="00E32992" w:rsidRPr="00E32992" w:rsidRDefault="00E32992" w:rsidP="00E32992">
            <w:pPr>
              <w:tabs>
                <w:tab w:val="left" w:pos="7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br w:type="page"/>
            </w:r>
          </w:p>
        </w:tc>
        <w:tc>
          <w:tcPr>
            <w:tcW w:w="1984" w:type="dxa"/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Додаток 2</w:t>
            </w:r>
          </w:p>
          <w:p w:rsidR="00E32992" w:rsidRPr="00E32992" w:rsidRDefault="00E32992" w:rsidP="00E32992">
            <w:pPr>
              <w:tabs>
                <w:tab w:val="left" w:pos="7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до Програми</w:t>
            </w:r>
          </w:p>
        </w:tc>
      </w:tr>
    </w:tbl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РЕСУРСНЕ ЗАБЕЗПЕЧЕННЯ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Програми підвищення спроможності та поліпшення умов несення служби у відділах та відділеннях інспекторів прикордонної служби на українсько-румунському державному кордоні (на ділянці відповідальності 27 прикордонного загону), на 2022-2024 роки</w:t>
      </w:r>
    </w:p>
    <w:p w:rsidR="00E32992" w:rsidRPr="00E32992" w:rsidRDefault="00E32992" w:rsidP="00E32992">
      <w:pPr>
        <w:tabs>
          <w:tab w:val="left" w:pos="756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66"/>
        <w:gridCol w:w="1231"/>
        <w:gridCol w:w="1228"/>
        <w:gridCol w:w="2155"/>
      </w:tblGrid>
      <w:tr w:rsidR="00E32992" w:rsidRPr="00E32992" w:rsidTr="00176C5B">
        <w:trPr>
          <w:tblHeader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Обсяг коштів, </w:t>
            </w:r>
          </w:p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які пропонується залучити для виконання </w:t>
            </w:r>
          </w:p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Строки реалізації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Всього витрат для виконання Програми, </w:t>
            </w:r>
          </w:p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тис. гривень</w:t>
            </w:r>
          </w:p>
        </w:tc>
      </w:tr>
      <w:tr w:rsidR="00E32992" w:rsidRPr="00E32992" w:rsidTr="00176C5B">
        <w:trPr>
          <w:tblHeader/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32992" w:rsidRPr="00E32992" w:rsidTr="00176C5B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Обсяг ресурсів, всього (тис. грн..), у тому числі: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700,0</w:t>
            </w:r>
          </w:p>
        </w:tc>
      </w:tr>
      <w:tr w:rsidR="00E32992" w:rsidRPr="00E32992" w:rsidTr="00176C5B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700,0</w:t>
            </w:r>
          </w:p>
        </w:tc>
      </w:tr>
    </w:tbl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32992" w:rsidRPr="00E32992" w:rsidRDefault="00E32992" w:rsidP="00E32992">
      <w:pPr>
        <w:keepNext/>
        <w:spacing w:after="0" w:line="240" w:lineRule="auto"/>
        <w:ind w:firstLine="13608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Д</w:t>
      </w: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sectPr w:rsidR="00E32992" w:rsidRPr="00E32992">
          <w:pgSz w:w="11906" w:h="16838"/>
          <w:pgMar w:top="568" w:right="850" w:bottom="851" w:left="1701" w:header="708" w:footer="708" w:gutter="0"/>
          <w:cols w:space="720"/>
        </w:sectPr>
      </w:pPr>
    </w:p>
    <w:p w:rsidR="00E32992" w:rsidRPr="00E32992" w:rsidRDefault="00E32992" w:rsidP="00E32992">
      <w:pPr>
        <w:keepNext/>
        <w:spacing w:after="0" w:line="240" w:lineRule="auto"/>
        <w:ind w:firstLine="13183"/>
        <w:jc w:val="right"/>
        <w:outlineLvl w:val="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329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Додаток 3</w:t>
      </w:r>
    </w:p>
    <w:p w:rsidR="00E32992" w:rsidRPr="00E32992" w:rsidRDefault="00E32992" w:rsidP="00E3299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b/>
          <w:color w:val="000000"/>
          <w:szCs w:val="28"/>
          <w:lang w:val="uk-UA"/>
        </w:rPr>
        <w:t>до Програми</w:t>
      </w:r>
    </w:p>
    <w:p w:rsidR="00E32992" w:rsidRPr="00E32992" w:rsidRDefault="00E32992" w:rsidP="00E32992">
      <w:pPr>
        <w:keepNext/>
        <w:spacing w:after="0" w:line="240" w:lineRule="auto"/>
        <w:jc w:val="center"/>
        <w:outlineLvl w:val="2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E32992" w:rsidRPr="00E32992" w:rsidRDefault="00E32992" w:rsidP="00E32992">
      <w:pPr>
        <w:keepNext/>
        <w:spacing w:after="0" w:line="240" w:lineRule="auto"/>
        <w:jc w:val="center"/>
        <w:outlineLvl w:val="2"/>
        <w:rPr>
          <w:rFonts w:ascii="Times New Roman" w:eastAsia="Courier New" w:hAnsi="Times New Roman" w:cs="Times New Roman"/>
          <w:color w:val="000000"/>
          <w:sz w:val="28"/>
          <w:szCs w:val="24"/>
          <w:lang w:val="uk-UA" w:eastAsia="ru-RU"/>
        </w:rPr>
      </w:pPr>
      <w:r w:rsidRPr="00E32992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НАПРЯМИ ДІЯЛЬНОСТІ ТА ЗАХОДИ ПРОГРАМИ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uk-UA"/>
        </w:rPr>
      </w:pPr>
      <w:r w:rsidRPr="00E32992">
        <w:rPr>
          <w:rFonts w:ascii="Times New Roman" w:eastAsia="Calibri" w:hAnsi="Times New Roman" w:cs="Times New Roman"/>
          <w:color w:val="000000"/>
          <w:szCs w:val="28"/>
          <w:lang w:val="uk-UA"/>
        </w:rPr>
        <w:t xml:space="preserve">підвищення спроможності та поліпшення умов несення служби у відділах та відділеннях інспекторів прикордонної служби на 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4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Cs w:val="28"/>
          <w:lang w:val="uk-UA"/>
        </w:rPr>
        <w:t xml:space="preserve">українсько-румунському державному кордоні (на ділянці відповідальності 27 прикордонного загону), </w:t>
      </w: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color w:val="000000"/>
          <w:szCs w:val="28"/>
          <w:lang w:val="uk-UA"/>
        </w:rPr>
        <w:t>на 2022-2024 роки</w:t>
      </w:r>
    </w:p>
    <w:p w:rsidR="00E32992" w:rsidRPr="00E32992" w:rsidRDefault="00E32992" w:rsidP="00E32992">
      <w:pPr>
        <w:spacing w:after="0" w:line="240" w:lineRule="auto"/>
        <w:rPr>
          <w:rFonts w:ascii="Times New Roman" w:eastAsia="Courier New" w:hAnsi="Times New Roman" w:cs="Times New Roman"/>
          <w:color w:val="000000"/>
          <w:sz w:val="6"/>
          <w:szCs w:val="16"/>
          <w:lang w:val="uk-UA"/>
        </w:rPr>
      </w:pPr>
    </w:p>
    <w:tbl>
      <w:tblPr>
        <w:tblW w:w="154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1"/>
        <w:gridCol w:w="2694"/>
        <w:gridCol w:w="851"/>
        <w:gridCol w:w="1700"/>
        <w:gridCol w:w="1276"/>
        <w:gridCol w:w="992"/>
        <w:gridCol w:w="992"/>
        <w:gridCol w:w="992"/>
        <w:gridCol w:w="3402"/>
      </w:tblGrid>
      <w:tr w:rsidR="00E32992" w:rsidRPr="00E32992" w:rsidTr="00176C5B">
        <w:trPr>
          <w:trHeight w:val="202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bookmarkEnd w:id="3"/>
          <w:bookmarkEnd w:id="4"/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  <w:t>Строк вико-</w:t>
            </w:r>
            <w:proofErr w:type="spellStart"/>
            <w:r w:rsidRPr="00E32992"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  <w:t>нання</w:t>
            </w:r>
            <w:proofErr w:type="spellEnd"/>
            <w:r w:rsidRPr="00E32992"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  <w:t xml:space="preserve"> заходів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 xml:space="preserve">Джерела </w:t>
            </w:r>
            <w:proofErr w:type="spellStart"/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фінан-сування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 xml:space="preserve">Орієнтовні обсяги фінансування (вартість), </w:t>
            </w:r>
          </w:p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тис. гривень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Очікувані результати</w:t>
            </w:r>
          </w:p>
        </w:tc>
      </w:tr>
      <w:tr w:rsidR="00E32992" w:rsidRPr="00E32992" w:rsidTr="00176C5B">
        <w:trPr>
          <w:trHeight w:val="111"/>
        </w:trPr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uk-UA" w:eastAsia="uk-U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2022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2024 рік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uk-UA" w:eastAsia="uk-UA"/>
        </w:rPr>
      </w:pPr>
    </w:p>
    <w:tbl>
      <w:tblPr>
        <w:tblW w:w="154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1"/>
        <w:gridCol w:w="2694"/>
        <w:gridCol w:w="851"/>
        <w:gridCol w:w="1700"/>
        <w:gridCol w:w="1276"/>
        <w:gridCol w:w="992"/>
        <w:gridCol w:w="992"/>
        <w:gridCol w:w="992"/>
        <w:gridCol w:w="3402"/>
      </w:tblGrid>
      <w:tr w:rsidR="00E32992" w:rsidRPr="00E32992" w:rsidTr="00176C5B">
        <w:trPr>
          <w:trHeight w:val="74"/>
          <w:tblHeader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9</w:t>
            </w:r>
          </w:p>
        </w:tc>
      </w:tr>
      <w:tr w:rsidR="00E32992" w:rsidRPr="00E32992" w:rsidTr="00176C5B">
        <w:trPr>
          <w:trHeight w:val="47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Розвиток інфраструктури, поліпшення умов несення служби та проживання персоналу  відділів та відділень інспекторів  прикордонної служби, закупівля спеціальних технічних засобів охорони кордону.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Придбання матеріалів та матеріально-технічних засобів для здійснення поточного ремонту будівель та споруд відділів та відділень інспекторів прикордонної служби, закупівля технічних засобів охорони кордону для більш якісного та ефективного виконання завдань з охорони державного кордону (прилади нічного бачення, </w:t>
            </w:r>
            <w:proofErr w:type="spellStart"/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тепловізори</w:t>
            </w:r>
            <w:proofErr w:type="spellEnd"/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, ліхтарі акумуляторні, новітні технічні засоби та техніка для підрізання, дробіння кущів та крон дерев, кущорізи, бензопили, портативні дизельні та бензинові агрегати, засоби сигналізації та зв'язку, </w:t>
            </w: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 xml:space="preserve">матеріали для влаштування інженерних загороджень);Закупівля комп’ютерів, принтерів, ноутбуків, холодильників, пральних машин, кавоварок, мікрохвильових печей, газових плит, офісних меблів тощо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lastRenderedPageBreak/>
              <w:t>2022-2024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27 прикордонний загін, виконавчий комітет міської ради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/>
              </w:rPr>
              <w:t>100,0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32992">
              <w:rPr>
                <w:rFonts w:ascii="Times New Roman" w:eastAsia="Calibri" w:hAnsi="Times New Roman" w:cs="Times New Roman"/>
                <w:color w:val="000000"/>
                <w:lang w:val="uk-UA" w:bidi="uk-UA"/>
              </w:rPr>
              <w:t xml:space="preserve">Підвищення можливостей прикордонних відділів та відділення інспекторів прикордонної служби у забезпеченні прикордонної безпеки в області; створення кращої мотивації для персоналу Державної прикордонної служби України, щоб служити у  відділах та відділеннях інспекторів прикордонної служби на українсько-румунському державному кордоні (на ділянці відповідальності 27 прикордонного загону); встановлення європейських стандартів у методології захисту кордону, належній підтримці та матеріально-технічному забезпеченні; підвищення прикордонної привабливості, доступності та прозорості для різноманітних юридичних контрактів та співробітництва; забезпечення </w:t>
            </w:r>
            <w:r w:rsidRPr="00E32992">
              <w:rPr>
                <w:rFonts w:ascii="Times New Roman" w:eastAsia="Calibri" w:hAnsi="Times New Roman" w:cs="Times New Roman"/>
                <w:color w:val="000000"/>
                <w:lang w:val="uk-UA" w:bidi="uk-UA"/>
              </w:rPr>
              <w:lastRenderedPageBreak/>
              <w:t>більш комфортних умов для персоналу, який відповідальний за захист кордону, та для людей, що подорожують через кордон; досягнення ефективності та прозорості контрольних процедур, запобігання незаконній міграції, торгівлі та протидії організованій злочинності на кордоні; переоснащення відділів та відділень інспекторів  прикордонної служби.</w:t>
            </w:r>
          </w:p>
        </w:tc>
      </w:tr>
      <w:tr w:rsidR="00E32992" w:rsidRPr="00E32992" w:rsidTr="00176C5B">
        <w:trPr>
          <w:trHeight w:val="74"/>
        </w:trPr>
        <w:tc>
          <w:tcPr>
            <w:tcW w:w="9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lastRenderedPageBreak/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100,0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32992" w:rsidRPr="00E32992" w:rsidTr="00176C5B">
        <w:trPr>
          <w:trHeight w:val="90"/>
        </w:trPr>
        <w:tc>
          <w:tcPr>
            <w:tcW w:w="9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ВСЬОГО РАЗОМ: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92" w:rsidRPr="00E32992" w:rsidRDefault="00E32992" w:rsidP="00E329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2992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700,0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992" w:rsidRPr="00E32992" w:rsidRDefault="00E32992" w:rsidP="00E3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E32992" w:rsidRPr="00E32992" w:rsidRDefault="00E32992" w:rsidP="00E32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32992" w:rsidRPr="00E32992" w:rsidRDefault="00E32992" w:rsidP="00E329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</w:p>
    <w:p w:rsidR="00E32992" w:rsidRPr="00E32992" w:rsidRDefault="00E32992" w:rsidP="00E32992">
      <w:pPr>
        <w:spacing w:after="0" w:line="240" w:lineRule="auto"/>
        <w:rPr>
          <w:rFonts w:ascii="Times New Roman" w:eastAsia="Calibri" w:hAnsi="Times New Roman" w:cs="Times New Roman"/>
          <w:color w:val="000000"/>
          <w:lang w:val="uk-UA"/>
        </w:rPr>
      </w:pPr>
    </w:p>
    <w:p w:rsidR="00E32992" w:rsidRPr="00E32992" w:rsidRDefault="00E32992" w:rsidP="00E3299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В.п</w:t>
      </w:r>
      <w:proofErr w:type="spellEnd"/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. міського голови,</w:t>
      </w:r>
    </w:p>
    <w:p w:rsidR="00E32992" w:rsidRPr="00E32992" w:rsidRDefault="00E32992" w:rsidP="00E3299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секретар ради та виконкому                                                   </w:t>
      </w: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</w:r>
      <w:r w:rsidRPr="00E3299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  <w:t>Євген МОЛНАР</w:t>
      </w:r>
    </w:p>
    <w:p w:rsidR="001D3301" w:rsidRPr="00E32992" w:rsidRDefault="001D3301">
      <w:pPr>
        <w:rPr>
          <w:lang w:val="uk-UA"/>
        </w:rPr>
      </w:pPr>
    </w:p>
    <w:sectPr w:rsidR="001D3301" w:rsidRPr="00E32992" w:rsidSect="00E32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7A"/>
    <w:rsid w:val="001D3301"/>
    <w:rsid w:val="00E32992"/>
    <w:rsid w:val="00E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4B40-9FCF-4F16-B2F1-EFED675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2023-08-30T11:54:00Z</dcterms:created>
  <dcterms:modified xsi:type="dcterms:W3CDTF">2023-08-30T11:54:00Z</dcterms:modified>
</cp:coreProperties>
</file>