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B39" w:rsidRPr="00D77928" w:rsidRDefault="002C4B39" w:rsidP="002C4B39">
      <w:pPr>
        <w:jc w:val="right"/>
        <w:rPr>
          <w:color w:val="000000" w:themeColor="text1"/>
          <w:sz w:val="28"/>
          <w:szCs w:val="28"/>
        </w:rPr>
      </w:pPr>
    </w:p>
    <w:p w:rsidR="002C4B39" w:rsidRPr="00D77928" w:rsidRDefault="002C4B39" w:rsidP="002C4B39">
      <w:pPr>
        <w:jc w:val="right"/>
        <w:rPr>
          <w:rFonts w:eastAsia="Calibri"/>
          <w:color w:val="000000" w:themeColor="text1"/>
          <w:sz w:val="28"/>
          <w:szCs w:val="28"/>
        </w:rPr>
      </w:pPr>
      <w:r w:rsidRPr="00D77928"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5352696" wp14:editId="3316079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B39" w:rsidRPr="00D77928" w:rsidRDefault="002C4B39" w:rsidP="002C4B3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2C4B39" w:rsidRPr="00D77928" w:rsidRDefault="002C4B39" w:rsidP="002C4B3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2C4B39" w:rsidRPr="00D77928" w:rsidRDefault="002C4B39" w:rsidP="002C4B3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2C4B39" w:rsidRPr="00D77928" w:rsidRDefault="002C4B39" w:rsidP="002C4B3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2C4B39" w:rsidRPr="00D77928" w:rsidRDefault="002C4B39" w:rsidP="002C4B39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77928">
        <w:rPr>
          <w:rFonts w:eastAsia="Calibri"/>
          <w:b/>
          <w:color w:val="000000" w:themeColor="text1"/>
          <w:sz w:val="28"/>
          <w:szCs w:val="28"/>
        </w:rPr>
        <w:t>32 сесія восьмого скликання</w:t>
      </w:r>
    </w:p>
    <w:p w:rsidR="002C4B39" w:rsidRPr="00D77928" w:rsidRDefault="002C4B39" w:rsidP="002C4B39">
      <w:pPr>
        <w:rPr>
          <w:rFonts w:eastAsia="Calibri"/>
          <w:color w:val="000000" w:themeColor="text1"/>
          <w:sz w:val="28"/>
          <w:szCs w:val="28"/>
        </w:rPr>
      </w:pPr>
    </w:p>
    <w:p w:rsidR="002C4B39" w:rsidRPr="00D77928" w:rsidRDefault="002C4B39" w:rsidP="002C4B39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D7792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D77928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2C4B39" w:rsidRPr="00D77928" w:rsidRDefault="002C4B39" w:rsidP="002C4B39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2C4B39" w:rsidRPr="00D77928" w:rsidRDefault="002C4B39" w:rsidP="002C4B39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від 09 червня 2023 року  </w:t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  <w:t>№519</w:t>
      </w:r>
    </w:p>
    <w:p w:rsidR="002C4B39" w:rsidRPr="00D77928" w:rsidRDefault="002C4B39" w:rsidP="002C4B39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м. Рахів</w:t>
      </w:r>
    </w:p>
    <w:p w:rsidR="002C4B39" w:rsidRPr="00D77928" w:rsidRDefault="002C4B39" w:rsidP="002C4B39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C4B39" w:rsidRPr="00D77928" w:rsidRDefault="002C4B39" w:rsidP="002C4B39">
      <w:pPr>
        <w:tabs>
          <w:tab w:val="left" w:pos="3900"/>
        </w:tabs>
        <w:rPr>
          <w:rFonts w:eastAsiaTheme="minorHAnsi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Про встановлення ставок із </w:t>
      </w:r>
    </w:p>
    <w:p w:rsidR="002C4B39" w:rsidRPr="00D77928" w:rsidRDefault="002C4B39" w:rsidP="002C4B39">
      <w:pPr>
        <w:tabs>
          <w:tab w:val="left" w:pos="3900"/>
        </w:tabs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сплати єдиного податку на 2024 рік</w:t>
      </w:r>
    </w:p>
    <w:p w:rsidR="002C4B39" w:rsidRPr="00D77928" w:rsidRDefault="002C4B39" w:rsidP="002C4B39">
      <w:pPr>
        <w:tabs>
          <w:tab w:val="left" w:pos="3900"/>
        </w:tabs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 xml:space="preserve">Керуючись статтею 10, пунктом 12.3 та пунктом 12.3.8  статті 12, статтями 291-300 Податкового Кодексу України, пунктом 24 частини 1 статті 26, </w:t>
      </w:r>
      <w:r w:rsidRPr="00D77928">
        <w:rPr>
          <w:noProof/>
          <w:color w:val="000000" w:themeColor="text1"/>
          <w:sz w:val="28"/>
          <w:szCs w:val="28"/>
          <w:lang w:eastAsia="ru-RU"/>
        </w:rPr>
        <w:t xml:space="preserve">частини 1 статті 59, </w:t>
      </w:r>
      <w:r w:rsidRPr="00D77928">
        <w:rPr>
          <w:color w:val="000000" w:themeColor="text1"/>
          <w:sz w:val="28"/>
          <w:szCs w:val="28"/>
          <w:lang w:eastAsia="ru-RU"/>
        </w:rPr>
        <w:t xml:space="preserve">статті 69 </w:t>
      </w:r>
      <w:r w:rsidRPr="00D77928">
        <w:rPr>
          <w:bCs/>
          <w:color w:val="000000" w:themeColor="text1"/>
          <w:sz w:val="28"/>
          <w:szCs w:val="28"/>
          <w:lang w:eastAsia="ru-RU"/>
        </w:rPr>
        <w:t xml:space="preserve">Закону України „Про місцеве самоврядування в Україні”, Рахівська </w:t>
      </w:r>
      <w:r w:rsidRPr="00D77928">
        <w:rPr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2C4B39" w:rsidRPr="00D77928" w:rsidRDefault="002C4B39" w:rsidP="002C4B3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В И Р І Ш И Л А:</w:t>
      </w:r>
    </w:p>
    <w:p w:rsidR="002C4B39" w:rsidRPr="00D77928" w:rsidRDefault="002C4B39" w:rsidP="002C4B39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громади:</w:t>
      </w:r>
    </w:p>
    <w:p w:rsidR="002C4B39" w:rsidRPr="00D77928" w:rsidRDefault="002C4B39" w:rsidP="002C4B39">
      <w:pPr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1-3; </w:t>
      </w:r>
    </w:p>
    <w:p w:rsidR="002C4B39" w:rsidRPr="00D77928" w:rsidRDefault="002C4B39" w:rsidP="002C4B39">
      <w:pPr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1.2. платникам єдиного податку ІІ групи, які здійснюють види діяльності, не зазначені в додатку 2 встановити 17%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C4B39" w:rsidRPr="00D77928" w:rsidRDefault="002C4B39" w:rsidP="002C4B39">
      <w:pPr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 w:rsidRPr="00D77928">
        <w:rPr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2C4B39" w:rsidRPr="00D77928" w:rsidRDefault="002C4B39" w:rsidP="002C4B39">
      <w:pPr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 w:rsidRPr="00D77928">
        <w:rPr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C4B39" w:rsidRPr="00D77928" w:rsidRDefault="002C4B39" w:rsidP="002C4B39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4.  Визнати такими, що втратило чинність, рішення міської ради № 371 від 30.06.2022 року „Про встановлення ставок із сплати єдиного податку на 2023 рік”.</w:t>
      </w:r>
    </w:p>
    <w:p w:rsidR="002C4B39" w:rsidRPr="00D77928" w:rsidRDefault="002C4B39" w:rsidP="002C4B39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5. Рішення набирає чинності з 01.01.2024 р.</w:t>
      </w:r>
    </w:p>
    <w:p w:rsidR="002C4B39" w:rsidRPr="00D77928" w:rsidRDefault="002C4B39" w:rsidP="002C4B39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</w:p>
    <w:p w:rsidR="002C4B39" w:rsidRDefault="002C4B39" w:rsidP="002C4B39">
      <w:pPr>
        <w:jc w:val="both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Міський голова</w:t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ab/>
        <w:t>В. МЕДВІДЬ</w:t>
      </w:r>
    </w:p>
    <w:p w:rsidR="002C4B39" w:rsidRPr="00D77928" w:rsidRDefault="002C4B39" w:rsidP="002C4B39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rPr>
          <w:rFonts w:eastAsiaTheme="minorEastAsia"/>
          <w:b/>
          <w:color w:val="000000" w:themeColor="text1"/>
          <w:sz w:val="22"/>
          <w:szCs w:val="22"/>
          <w:lang w:eastAsia="ru-RU"/>
        </w:rPr>
      </w:pPr>
      <w:r w:rsidRPr="00D77928">
        <w:rPr>
          <w:rFonts w:eastAsiaTheme="minorEastAsia"/>
          <w:b/>
          <w:color w:val="000000" w:themeColor="text1"/>
          <w:lang w:eastAsia="ru-RU"/>
        </w:rPr>
        <w:br w:type="page"/>
      </w:r>
    </w:p>
    <w:p w:rsidR="002C4B39" w:rsidRPr="00D77928" w:rsidRDefault="002C4B39" w:rsidP="002C4B39">
      <w:pPr>
        <w:rPr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C4B39" w:rsidRPr="00D77928" w:rsidTr="00231F04">
        <w:trPr>
          <w:trHeight w:val="1292"/>
          <w:jc w:val="right"/>
        </w:trPr>
        <w:tc>
          <w:tcPr>
            <w:tcW w:w="3267" w:type="dxa"/>
            <w:hideMark/>
          </w:tcPr>
          <w:p w:rsidR="002C4B39" w:rsidRPr="00D77928" w:rsidRDefault="002C4B39" w:rsidP="00231F04">
            <w:pPr>
              <w:rPr>
                <w:color w:val="000000" w:themeColor="text1"/>
              </w:rPr>
            </w:pPr>
            <w:r w:rsidRPr="00D77928">
              <w:rPr>
                <w:color w:val="000000" w:themeColor="text1"/>
                <w:sz w:val="28"/>
                <w:szCs w:val="28"/>
              </w:rPr>
              <w:br w:type="page"/>
            </w:r>
            <w:r w:rsidRPr="00D77928">
              <w:rPr>
                <w:color w:val="000000" w:themeColor="text1"/>
                <w:sz w:val="28"/>
                <w:szCs w:val="28"/>
              </w:rPr>
              <w:br w:type="page"/>
            </w:r>
            <w:r w:rsidRPr="00D77928">
              <w:rPr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D77928">
              <w:rPr>
                <w:b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D77928">
              <w:rPr>
                <w:color w:val="000000" w:themeColor="text1"/>
              </w:rPr>
              <w:t xml:space="preserve">           Додаток  №1                                                                       до рішення міської ради  </w:t>
            </w:r>
          </w:p>
          <w:p w:rsidR="002C4B39" w:rsidRPr="00D77928" w:rsidRDefault="002C4B39" w:rsidP="00231F0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77928">
              <w:rPr>
                <w:color w:val="000000" w:themeColor="text1"/>
              </w:rPr>
              <w:t>32-ї сесії 8-го скликання                                                                                              від 09.06. 2023 р. №519</w:t>
            </w:r>
          </w:p>
        </w:tc>
      </w:tr>
    </w:tbl>
    <w:p w:rsidR="002C4B39" w:rsidRPr="00D77928" w:rsidRDefault="002C4B39" w:rsidP="002C4B39">
      <w:pPr>
        <w:rPr>
          <w:rFonts w:eastAsiaTheme="minorHAnsi"/>
          <w:color w:val="000000" w:themeColor="text1"/>
          <w:sz w:val="25"/>
          <w:szCs w:val="25"/>
          <w:lang w:eastAsia="en-US"/>
        </w:rPr>
      </w:pPr>
    </w:p>
    <w:p w:rsidR="002C4B39" w:rsidRPr="00D77928" w:rsidRDefault="002C4B39" w:rsidP="002C4B39">
      <w:pPr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ind w:firstLine="709"/>
        <w:jc w:val="center"/>
        <w:rPr>
          <w:rFonts w:eastAsiaTheme="minorHAnsi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  ЄДИНИЙ ПОДАТОК</w:t>
      </w:r>
    </w:p>
    <w:p w:rsidR="002C4B39" w:rsidRPr="00D77928" w:rsidRDefault="002C4B39" w:rsidP="002C4B39">
      <w:pPr>
        <w:ind w:firstLine="709"/>
        <w:jc w:val="center"/>
        <w:rPr>
          <w:rFonts w:eastAsia="Calibri"/>
          <w:b/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1. Платники єдиного податку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0" w:name="n6951"/>
      <w:bookmarkEnd w:id="0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1" w:name="n11965"/>
      <w:bookmarkStart w:id="2" w:name="n6952"/>
      <w:bookmarkEnd w:id="1"/>
      <w:bookmarkEnd w:id="2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3" w:name="n6953"/>
      <w:bookmarkEnd w:id="3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4" w:name="n6954"/>
      <w:bookmarkEnd w:id="4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5" w:tgtFrame="_blank" w:history="1">
        <w:r w:rsidRPr="00D77928">
          <w:rPr>
            <w:rStyle w:val="a3"/>
            <w:rFonts w:eastAsiaTheme="minorEastAsia"/>
            <w:color w:val="000000" w:themeColor="text1"/>
            <w:sz w:val="28"/>
            <w:szCs w:val="28"/>
            <w:lang w:eastAsia="ru-RU"/>
          </w:rPr>
          <w:t>КВЕД ДК 009:2005</w:t>
        </w:r>
      </w:hyperlink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), послуги з надання доступу до мережі Інтернет,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напівдорогоцінного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5" w:name="n6956"/>
      <w:bookmarkStart w:id="6" w:name="n6957"/>
      <w:bookmarkEnd w:id="5"/>
      <w:bookmarkEnd w:id="6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3) 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року;</w:t>
      </w:r>
      <w:bookmarkStart w:id="7" w:name="n11967"/>
      <w:bookmarkStart w:id="8" w:name="n6960"/>
      <w:bookmarkEnd w:id="7"/>
      <w:bookmarkEnd w:id="8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4) четверта група - сільськогосподарські товаровиробники:</w:t>
      </w:r>
      <w:bookmarkStart w:id="9" w:name="n15148"/>
      <w:bookmarkEnd w:id="9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товаровиробництва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 попередній податковий (звітний) рік дорівнює або перевищує 75 відсотків;</w:t>
      </w:r>
      <w:bookmarkStart w:id="10" w:name="n15149"/>
      <w:bookmarkEnd w:id="10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 xml:space="preserve">б) фізичні особи - підприємці, які провадять діяльність виключно в межах фермерського господарства, зареєстрованого відповідно до </w:t>
      </w:r>
      <w:hyperlink r:id="rId6" w:tgtFrame="_blank" w:history="1">
        <w:r w:rsidRPr="00D77928">
          <w:rPr>
            <w:rStyle w:val="a3"/>
            <w:rFonts w:eastAsiaTheme="minorEastAsia"/>
            <w:color w:val="000000" w:themeColor="text1"/>
            <w:sz w:val="28"/>
            <w:szCs w:val="28"/>
            <w:lang w:eastAsia="ru-RU"/>
          </w:rPr>
          <w:t>Закону України</w:t>
        </w:r>
      </w:hyperlink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 „Про фермерське господарство”, за умови виконання сукупності таких вимог: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власновирощеної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або відгодованої продукції та її продаж;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провадять господарську діяльність (крім постачання) за місцем податкової адреси;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не використовують працю найманих осіб;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2. Не можуть бути платниками єдиного податку</w:t>
      </w:r>
      <w:r w:rsidRPr="00D77928">
        <w:rPr>
          <w:color w:val="000000" w:themeColor="text1"/>
        </w:rPr>
        <w:t xml:space="preserve"> </w:t>
      </w: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першої - третьої груп 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="MS Mincho"/>
          <w:b/>
          <w:color w:val="000000" w:themeColor="text1"/>
          <w:sz w:val="28"/>
          <w:szCs w:val="28"/>
          <w:lang w:eastAsia="ru-RU"/>
        </w:rPr>
        <w:t>3. Ставки єдиного податку.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7928">
        <w:rPr>
          <w:rFonts w:eastAsia="MS Mincho"/>
          <w:color w:val="000000" w:themeColor="text1"/>
          <w:sz w:val="28"/>
          <w:szCs w:val="28"/>
          <w:shd w:val="clear" w:color="auto" w:fill="FFFFFF"/>
          <w:lang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>3.2. </w:t>
      </w:r>
      <w:r w:rsidRPr="00D77928">
        <w:rPr>
          <w:rFonts w:eastAsia="MS Mincho"/>
          <w:color w:val="000000" w:themeColor="text1"/>
          <w:sz w:val="28"/>
          <w:szCs w:val="28"/>
          <w:shd w:val="clear" w:color="auto" w:fill="FFFFFF"/>
          <w:lang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- мінімальна заробітна плата), третьої групи - у відсотках до доходу (відсоткові ставки).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color w:val="000000" w:themeColor="text1"/>
          <w:sz w:val="28"/>
          <w:szCs w:val="28"/>
          <w:lang w:eastAsia="ru-RU"/>
        </w:rPr>
      </w:pP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 xml:space="preserve">. 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color w:val="000000" w:themeColor="text1"/>
          <w:sz w:val="28"/>
          <w:szCs w:val="28"/>
          <w:lang w:eastAsia="ru-RU"/>
        </w:rPr>
      </w:pP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color w:val="000000" w:themeColor="text1"/>
          <w:sz w:val="28"/>
          <w:szCs w:val="28"/>
          <w:lang w:eastAsia="ru-RU"/>
        </w:rPr>
      </w:pP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застосовується  максимальний  розмір  ставки єдиного  податку,  встановлений  статтею 293 Податкового кодексу України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 xml:space="preserve"> для відповідної групи таких платників єдиного податку. 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ru-RU"/>
        </w:rPr>
      </w:pPr>
      <w:r w:rsidRPr="00D77928">
        <w:rPr>
          <w:rFonts w:eastAsia="MS Mincho"/>
          <w:b/>
          <w:color w:val="000000" w:themeColor="text1"/>
          <w:sz w:val="28"/>
          <w:szCs w:val="28"/>
          <w:lang w:eastAsia="ru-RU"/>
        </w:rPr>
        <w:t>4. П</w:t>
      </w: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одатковим (звітним) період 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є календарний квартал,  що визначено статтею 294 </w:t>
      </w: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5. </w:t>
      </w:r>
      <w:r w:rsidRPr="00D77928">
        <w:rPr>
          <w:rFonts w:eastAsia="MS Mincho"/>
          <w:b/>
          <w:color w:val="000000" w:themeColor="text1"/>
          <w:sz w:val="28"/>
          <w:szCs w:val="28"/>
          <w:lang w:eastAsia="ru-RU"/>
        </w:rPr>
        <w:t>Порядок нарахування та строки сплати</w:t>
      </w: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 xml:space="preserve"> єдиного  податку</w:t>
      </w:r>
      <w:r w:rsidRPr="00D77928">
        <w:rPr>
          <w:rFonts w:eastAsia="MS Mincho"/>
          <w:b/>
          <w:color w:val="000000" w:themeColor="text1"/>
          <w:sz w:val="28"/>
          <w:szCs w:val="28"/>
          <w:lang w:eastAsia="ru-RU"/>
        </w:rPr>
        <w:t xml:space="preserve"> 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визначаються статтею 295 </w:t>
      </w: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C4B39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MS Mincho"/>
          <w:b/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="MS Mincho"/>
          <w:b/>
          <w:color w:val="000000" w:themeColor="text1"/>
          <w:sz w:val="28"/>
          <w:szCs w:val="28"/>
          <w:lang w:eastAsia="ru-RU"/>
        </w:rPr>
        <w:lastRenderedPageBreak/>
        <w:t>6. В</w:t>
      </w: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едення обліку, складання звітності 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платниками єдиного податку визначаються статтею 296 </w:t>
      </w:r>
      <w:r w:rsidRPr="00D77928">
        <w:rPr>
          <w:rFonts w:eastAsia="MS Mincho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7. Особливості нарахування сплати та подання звітності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 окремих податків і зборів</w:t>
      </w: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 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1" w:name="o43"/>
      <w:bookmarkEnd w:id="11"/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2C4B39" w:rsidRPr="00D77928" w:rsidRDefault="002C4B39" w:rsidP="002C4B39">
      <w:p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Секретар ради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  <w:t>Д.БРЕХЛІЧУК</w:t>
      </w:r>
    </w:p>
    <w:p w:rsidR="002C4B39" w:rsidRPr="00D77928" w:rsidRDefault="002C4B39" w:rsidP="002C4B39">
      <w:pPr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2C4B39" w:rsidRPr="00D77928" w:rsidRDefault="002C4B39" w:rsidP="002C4B39">
      <w:pPr>
        <w:rPr>
          <w:color w:val="000000" w:themeColor="text1"/>
        </w:rPr>
      </w:pPr>
      <w:r w:rsidRPr="00D77928">
        <w:rPr>
          <w:color w:val="000000" w:themeColor="text1"/>
        </w:rPr>
        <w:br w:type="page"/>
      </w:r>
    </w:p>
    <w:p w:rsidR="00CE3F0E" w:rsidRDefault="00CE3F0E"/>
    <w:sectPr w:rsidR="00CE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39"/>
    <w:rsid w:val="002C4B39"/>
    <w:rsid w:val="00CB440F"/>
    <w:rsid w:val="00C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4D67D-3951-48CE-B587-DC70DB8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73-15" TargetMode="External"/><Relationship Id="rId5" Type="http://schemas.openxmlformats.org/officeDocument/2006/relationships/hyperlink" Target="https://zakon.rada.gov.ua/laws/show/va375202-05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4939</Words>
  <Characters>2816</Characters>
  <Application>Microsoft Office Word</Application>
  <DocSecurity>0</DocSecurity>
  <Lines>23</Lines>
  <Paragraphs>15</Paragraphs>
  <ScaleCrop>false</ScaleCrop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1</cp:revision>
  <dcterms:created xsi:type="dcterms:W3CDTF">2023-06-21T14:37:00Z</dcterms:created>
  <dcterms:modified xsi:type="dcterms:W3CDTF">2023-06-21T14:38:00Z</dcterms:modified>
</cp:coreProperties>
</file>