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59F" w:rsidRPr="00ED1F80" w:rsidRDefault="00C9159F" w:rsidP="00C9159F">
      <w:pPr>
        <w:pStyle w:val="a5"/>
        <w:rPr>
          <w:b/>
          <w:sz w:val="36"/>
          <w:szCs w:val="36"/>
        </w:rPr>
      </w:pPr>
      <w:r w:rsidRPr="00ED1F80">
        <w:rPr>
          <w:b/>
          <w:sz w:val="36"/>
          <w:szCs w:val="36"/>
        </w:rPr>
        <w:t>Аналіз</w:t>
      </w:r>
    </w:p>
    <w:p w:rsidR="00C9159F" w:rsidRPr="00ED1F80" w:rsidRDefault="00C9159F" w:rsidP="00C915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D1F80">
        <w:rPr>
          <w:rFonts w:ascii="Times New Roman" w:hAnsi="Times New Roman"/>
          <w:b/>
          <w:sz w:val="28"/>
          <w:szCs w:val="28"/>
          <w:lang w:val="uk-UA"/>
        </w:rPr>
        <w:t>регуляторного впливу проекту рішення</w:t>
      </w:r>
    </w:p>
    <w:p w:rsidR="00C9159F" w:rsidRPr="00ED1F80" w:rsidRDefault="00C9159F" w:rsidP="00C9159F">
      <w:pPr>
        <w:pStyle w:val="a9"/>
        <w:spacing w:before="0" w:after="0"/>
        <w:rPr>
          <w:rFonts w:ascii="Times New Roman" w:hAnsi="Times New Roman"/>
          <w:sz w:val="28"/>
          <w:szCs w:val="28"/>
        </w:rPr>
      </w:pPr>
      <w:r w:rsidRPr="00ED1F80">
        <w:rPr>
          <w:rFonts w:ascii="Times New Roman" w:hAnsi="Times New Roman"/>
          <w:sz w:val="28"/>
          <w:szCs w:val="28"/>
        </w:rPr>
        <w:t xml:space="preserve">міської ради </w:t>
      </w:r>
      <w:r w:rsidR="00357BC4" w:rsidRPr="00ED1F80">
        <w:rPr>
          <w:rFonts w:ascii="Times New Roman" w:hAnsi="Times New Roman"/>
          <w:sz w:val="28"/>
          <w:szCs w:val="28"/>
        </w:rPr>
        <w:t>„</w:t>
      </w:r>
      <w:r w:rsidRPr="00ED1F80">
        <w:rPr>
          <w:rFonts w:ascii="Times New Roman" w:hAnsi="Times New Roman"/>
          <w:sz w:val="28"/>
          <w:szCs w:val="28"/>
        </w:rPr>
        <w:t xml:space="preserve">Про встановлення ставок </w:t>
      </w:r>
      <w:r w:rsidR="00357BC4" w:rsidRPr="00ED1F80">
        <w:rPr>
          <w:rFonts w:ascii="Times New Roman" w:hAnsi="Times New Roman"/>
          <w:sz w:val="28"/>
          <w:szCs w:val="28"/>
        </w:rPr>
        <w:t xml:space="preserve">із сплати </w:t>
      </w:r>
      <w:r w:rsidRPr="00ED1F80">
        <w:rPr>
          <w:rFonts w:ascii="Times New Roman" w:hAnsi="Times New Roman"/>
          <w:sz w:val="28"/>
          <w:szCs w:val="28"/>
        </w:rPr>
        <w:t>єдиного податку</w:t>
      </w:r>
      <w:r w:rsidR="00357BC4" w:rsidRPr="00ED1F80">
        <w:rPr>
          <w:rFonts w:ascii="Times New Roman" w:hAnsi="Times New Roman"/>
          <w:sz w:val="28"/>
          <w:szCs w:val="28"/>
        </w:rPr>
        <w:t>”</w:t>
      </w:r>
    </w:p>
    <w:p w:rsidR="00C9159F" w:rsidRPr="00ED1F80" w:rsidRDefault="00C9159F" w:rsidP="00C9159F">
      <w:pPr>
        <w:pStyle w:val="3"/>
        <w:spacing w:before="0" w:beforeAutospacing="0" w:after="0" w:afterAutospacing="0"/>
        <w:jc w:val="center"/>
        <w:rPr>
          <w:b w:val="0"/>
          <w:i/>
          <w:sz w:val="28"/>
          <w:szCs w:val="28"/>
          <w:lang w:val="uk-UA"/>
        </w:rPr>
      </w:pPr>
    </w:p>
    <w:p w:rsidR="00C9159F" w:rsidRPr="00ED1F80" w:rsidRDefault="00C9159F" w:rsidP="00C9159F">
      <w:pPr>
        <w:pStyle w:val="3"/>
        <w:jc w:val="center"/>
        <w:rPr>
          <w:lang w:val="uk-UA"/>
        </w:rPr>
      </w:pPr>
      <w:r w:rsidRPr="00ED1F80">
        <w:rPr>
          <w:lang w:val="uk-UA"/>
        </w:rPr>
        <w:t>I. Визначення проблеми</w:t>
      </w:r>
    </w:p>
    <w:p w:rsidR="00C9159F" w:rsidRPr="00ED1F80" w:rsidRDefault="00C9159F" w:rsidP="00C9159F">
      <w:pPr>
        <w:spacing w:after="0" w:line="240" w:lineRule="auto"/>
        <w:ind w:firstLine="567"/>
        <w:jc w:val="both"/>
        <w:rPr>
          <w:rFonts w:ascii="Times New Roman" w:hAnsi="Times New Roman"/>
          <w:sz w:val="24"/>
          <w:lang w:val="uk-UA"/>
        </w:rPr>
      </w:pPr>
      <w:r w:rsidRPr="00ED1F80">
        <w:rPr>
          <w:rFonts w:ascii="Times New Roman" w:hAnsi="Times New Roman"/>
          <w:sz w:val="24"/>
          <w:lang w:val="uk-UA"/>
        </w:rPr>
        <w:t xml:space="preserve">Відповідно до статті 10 Податкового кодексу України визначено перелік місцевих податків і зборів. Згідно зі статтею 12 Податкового кодексу України </w:t>
      </w:r>
      <w:r w:rsidR="00357BC4" w:rsidRPr="00ED1F80">
        <w:rPr>
          <w:rFonts w:ascii="Times New Roman" w:hAnsi="Times New Roman"/>
          <w:sz w:val="24"/>
          <w:lang w:val="uk-UA"/>
        </w:rPr>
        <w:t>міські</w:t>
      </w:r>
      <w:r w:rsidRPr="00ED1F80">
        <w:rPr>
          <w:rFonts w:ascii="Times New Roman" w:hAnsi="Times New Roman"/>
          <w:sz w:val="24"/>
          <w:lang w:val="uk-UA"/>
        </w:rPr>
        <w:t xml:space="preserve"> ради</w:t>
      </w:r>
      <w:r w:rsidR="00357BC4" w:rsidRPr="00ED1F80">
        <w:rPr>
          <w:rFonts w:ascii="Times New Roman" w:hAnsi="Times New Roman"/>
          <w:sz w:val="24"/>
          <w:lang w:val="uk-UA"/>
        </w:rPr>
        <w:t xml:space="preserve"> та ради об’єднаних</w:t>
      </w:r>
      <w:r w:rsidRPr="00ED1F80">
        <w:rPr>
          <w:rFonts w:ascii="Times New Roman" w:hAnsi="Times New Roman"/>
          <w:sz w:val="24"/>
          <w:lang w:val="uk-UA"/>
        </w:rPr>
        <w:t xml:space="preserve"> </w:t>
      </w:r>
      <w:r w:rsidR="00357BC4" w:rsidRPr="00ED1F80">
        <w:rPr>
          <w:rFonts w:ascii="Times New Roman" w:hAnsi="Times New Roman"/>
          <w:sz w:val="24"/>
          <w:lang w:val="uk-UA"/>
        </w:rPr>
        <w:t>територіальних громад приймають рішення про встановлення місцевих податків</w:t>
      </w:r>
      <w:r w:rsidRPr="00ED1F80">
        <w:rPr>
          <w:rFonts w:ascii="Times New Roman" w:hAnsi="Times New Roman"/>
          <w:sz w:val="24"/>
          <w:lang w:val="uk-UA"/>
        </w:rPr>
        <w:t xml:space="preserve"> </w:t>
      </w:r>
      <w:r w:rsidR="00357BC4" w:rsidRPr="00ED1F80">
        <w:rPr>
          <w:rFonts w:ascii="Times New Roman" w:hAnsi="Times New Roman"/>
          <w:sz w:val="24"/>
          <w:lang w:val="uk-UA"/>
        </w:rPr>
        <w:t>та зборів</w:t>
      </w:r>
      <w:r w:rsidRPr="00ED1F80">
        <w:rPr>
          <w:rFonts w:ascii="Times New Roman" w:hAnsi="Times New Roman"/>
          <w:sz w:val="24"/>
          <w:lang w:val="uk-UA"/>
        </w:rPr>
        <w:t xml:space="preserve">. </w:t>
      </w:r>
    </w:p>
    <w:p w:rsidR="00C9159F" w:rsidRPr="00ED1F80" w:rsidRDefault="00C9159F" w:rsidP="00C9159F">
      <w:pPr>
        <w:spacing w:after="0" w:line="240" w:lineRule="auto"/>
        <w:ind w:firstLine="567"/>
        <w:jc w:val="both"/>
        <w:rPr>
          <w:rFonts w:ascii="Times New Roman" w:hAnsi="Times New Roman"/>
          <w:sz w:val="24"/>
          <w:lang w:val="uk-UA"/>
        </w:rPr>
      </w:pPr>
      <w:r w:rsidRPr="00ED1F80">
        <w:rPr>
          <w:rFonts w:ascii="Times New Roman" w:hAnsi="Times New Roman"/>
          <w:sz w:val="24"/>
          <w:lang w:val="uk-UA"/>
        </w:rPr>
        <w:t xml:space="preserve">Згідно Закону України </w:t>
      </w:r>
      <w:r w:rsidR="00357BC4" w:rsidRPr="00ED1F80">
        <w:rPr>
          <w:rFonts w:ascii="Times New Roman" w:hAnsi="Times New Roman"/>
          <w:sz w:val="24"/>
          <w:lang w:val="uk-UA"/>
        </w:rPr>
        <w:t>„</w:t>
      </w:r>
      <w:r w:rsidRPr="00ED1F80">
        <w:rPr>
          <w:rFonts w:ascii="Times New Roman" w:hAnsi="Times New Roman"/>
          <w:sz w:val="24"/>
          <w:lang w:val="uk-UA"/>
        </w:rPr>
        <w:t>Про місцеве самоврядування в Україні</w:t>
      </w:r>
      <w:r w:rsidR="00357BC4" w:rsidRPr="00ED1F80">
        <w:rPr>
          <w:rFonts w:ascii="Times New Roman" w:hAnsi="Times New Roman"/>
          <w:sz w:val="24"/>
          <w:lang w:val="uk-UA"/>
        </w:rPr>
        <w:t>”</w:t>
      </w:r>
      <w:r w:rsidRPr="00ED1F80">
        <w:rPr>
          <w:rFonts w:ascii="Times New Roman" w:hAnsi="Times New Roman"/>
          <w:sz w:val="24"/>
          <w:lang w:val="uk-UA"/>
        </w:rPr>
        <w:t xml:space="preserve"> повноваження щодо встановлення місцевих податків і зборів відносяться до виключної компетенції місцевої ради. </w:t>
      </w:r>
    </w:p>
    <w:p w:rsidR="00C9159F" w:rsidRPr="00ED1F80" w:rsidRDefault="00C9159F" w:rsidP="00C9159F">
      <w:pPr>
        <w:spacing w:after="0" w:line="240" w:lineRule="auto"/>
        <w:ind w:firstLine="567"/>
        <w:jc w:val="both"/>
        <w:rPr>
          <w:rFonts w:ascii="Times New Roman" w:hAnsi="Times New Roman"/>
          <w:sz w:val="24"/>
          <w:lang w:val="uk-UA"/>
        </w:rPr>
      </w:pPr>
      <w:r w:rsidRPr="00ED1F80">
        <w:rPr>
          <w:rFonts w:ascii="Times New Roman" w:hAnsi="Times New Roman"/>
          <w:sz w:val="24"/>
          <w:lang w:val="uk-UA"/>
        </w:rPr>
        <w:t xml:space="preserve">Враховуючи положення Податкового Кодексу України та Закону України </w:t>
      </w:r>
      <w:r w:rsidR="00357BC4" w:rsidRPr="00ED1F80">
        <w:rPr>
          <w:rFonts w:ascii="Times New Roman" w:hAnsi="Times New Roman"/>
          <w:sz w:val="24"/>
          <w:lang w:val="uk-UA"/>
        </w:rPr>
        <w:t>„</w:t>
      </w:r>
      <w:r w:rsidRPr="00ED1F80">
        <w:rPr>
          <w:rFonts w:ascii="Times New Roman" w:hAnsi="Times New Roman"/>
          <w:sz w:val="24"/>
          <w:lang w:val="uk-UA"/>
        </w:rPr>
        <w:t>Про місцеве самоврядування в Україні</w:t>
      </w:r>
      <w:r w:rsidR="00357BC4" w:rsidRPr="00ED1F80">
        <w:rPr>
          <w:rFonts w:ascii="Times New Roman" w:hAnsi="Times New Roman"/>
          <w:sz w:val="24"/>
          <w:lang w:val="uk-UA"/>
        </w:rPr>
        <w:t>”</w:t>
      </w:r>
      <w:r w:rsidRPr="00ED1F80">
        <w:rPr>
          <w:rFonts w:ascii="Times New Roman" w:hAnsi="Times New Roman"/>
          <w:sz w:val="24"/>
          <w:lang w:val="uk-UA"/>
        </w:rPr>
        <w:t xml:space="preserve">, виникає необхідність встановлення на території Рахівської міської </w:t>
      </w:r>
      <w:r w:rsidR="00357BC4" w:rsidRPr="00ED1F80">
        <w:rPr>
          <w:rFonts w:ascii="Times New Roman" w:hAnsi="Times New Roman"/>
          <w:sz w:val="24"/>
          <w:lang w:val="uk-UA"/>
        </w:rPr>
        <w:t>територіальної громади єдиного податку на 202</w:t>
      </w:r>
      <w:r w:rsidR="004C2631">
        <w:rPr>
          <w:rFonts w:ascii="Times New Roman" w:hAnsi="Times New Roman"/>
          <w:sz w:val="24"/>
          <w:lang w:val="uk-UA"/>
        </w:rPr>
        <w:t>3</w:t>
      </w:r>
      <w:r w:rsidRPr="00ED1F80">
        <w:rPr>
          <w:rFonts w:ascii="Times New Roman" w:hAnsi="Times New Roman"/>
          <w:sz w:val="24"/>
          <w:lang w:val="uk-UA"/>
        </w:rPr>
        <w:t xml:space="preserve"> рік.</w:t>
      </w:r>
    </w:p>
    <w:p w:rsidR="00C9159F" w:rsidRPr="00ED1F80" w:rsidRDefault="00C9159F" w:rsidP="00C9159F">
      <w:pPr>
        <w:spacing w:after="0" w:line="240" w:lineRule="auto"/>
        <w:ind w:firstLine="567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 w:rsidRPr="00ED1F80">
        <w:rPr>
          <w:rFonts w:ascii="Times New Roman" w:hAnsi="Times New Roman"/>
          <w:sz w:val="24"/>
          <w:szCs w:val="24"/>
          <w:lang w:val="uk-UA"/>
        </w:rPr>
        <w:t xml:space="preserve">Проблемою є те, що в разі не встановлення міською радою місцевих податків, будуть застосовуватися мінімальні ставки податку, визначені в Податковому кодексі України, при цьому не будуть враховані інтереси громади по встановленню таких ставок. </w:t>
      </w:r>
      <w:r w:rsidRPr="00ED1F80">
        <w:rPr>
          <w:rFonts w:ascii="Times New Roman" w:hAnsi="Times New Roman"/>
          <w:sz w:val="24"/>
          <w:lang w:val="uk-UA"/>
        </w:rPr>
        <w:t xml:space="preserve"> Прийняття цього регуляторного </w:t>
      </w:r>
      <w:proofErr w:type="spellStart"/>
      <w:r w:rsidRPr="00ED1F80">
        <w:rPr>
          <w:rFonts w:ascii="Times New Roman" w:hAnsi="Times New Roman"/>
          <w:sz w:val="24"/>
          <w:lang w:val="uk-UA"/>
        </w:rPr>
        <w:t>акта</w:t>
      </w:r>
      <w:proofErr w:type="spellEnd"/>
      <w:r w:rsidRPr="00ED1F80">
        <w:rPr>
          <w:rFonts w:ascii="Times New Roman" w:hAnsi="Times New Roman"/>
          <w:sz w:val="24"/>
          <w:lang w:val="uk-UA"/>
        </w:rPr>
        <w:t xml:space="preserve"> дасть можливість здійснення контролю за до</w:t>
      </w:r>
      <w:r w:rsidR="004C2631">
        <w:rPr>
          <w:rFonts w:ascii="Times New Roman" w:hAnsi="Times New Roman"/>
          <w:sz w:val="24"/>
          <w:lang w:val="uk-UA"/>
        </w:rPr>
        <w:t>трим</w:t>
      </w:r>
      <w:r w:rsidRPr="00ED1F80">
        <w:rPr>
          <w:rFonts w:ascii="Times New Roman" w:hAnsi="Times New Roman"/>
          <w:sz w:val="24"/>
          <w:lang w:val="uk-UA"/>
        </w:rPr>
        <w:t xml:space="preserve">анням правил розрахунку та сплати єдиного податку, поповнити місцевий бюджет, що </w:t>
      </w:r>
      <w:proofErr w:type="spellStart"/>
      <w:r w:rsidRPr="00ED1F80">
        <w:rPr>
          <w:rFonts w:ascii="Times New Roman" w:hAnsi="Times New Roman"/>
          <w:sz w:val="24"/>
          <w:lang w:val="uk-UA"/>
        </w:rPr>
        <w:t>надасть</w:t>
      </w:r>
      <w:proofErr w:type="spellEnd"/>
      <w:r w:rsidRPr="00ED1F80">
        <w:rPr>
          <w:rFonts w:ascii="Times New Roman" w:hAnsi="Times New Roman"/>
          <w:sz w:val="24"/>
          <w:lang w:val="uk-UA"/>
        </w:rPr>
        <w:t xml:space="preserve"> змогу спрямувати отримані кошти від сплати податку на вирішення соціальних проблем територіальної громади та покращення інфраструктури </w:t>
      </w:r>
      <w:r w:rsidR="00DD4C88" w:rsidRPr="00ED1F80">
        <w:rPr>
          <w:rFonts w:ascii="Times New Roman" w:hAnsi="Times New Roman"/>
          <w:sz w:val="24"/>
          <w:lang w:val="uk-UA"/>
        </w:rPr>
        <w:t>міської територіальної громади</w:t>
      </w:r>
      <w:r w:rsidRPr="00ED1F80">
        <w:rPr>
          <w:rFonts w:ascii="Times New Roman" w:hAnsi="Times New Roman"/>
          <w:sz w:val="24"/>
          <w:lang w:val="uk-UA"/>
        </w:rPr>
        <w:t xml:space="preserve">. </w:t>
      </w:r>
    </w:p>
    <w:p w:rsidR="00C9159F" w:rsidRPr="00ED1F80" w:rsidRDefault="00C9159F" w:rsidP="00C9159F">
      <w:pPr>
        <w:pStyle w:val="a3"/>
        <w:spacing w:before="0" w:beforeAutospacing="0" w:after="0" w:afterAutospacing="0"/>
        <w:jc w:val="both"/>
        <w:rPr>
          <w:lang w:val="uk-UA"/>
        </w:rPr>
      </w:pPr>
      <w:r w:rsidRPr="00ED1F80">
        <w:rPr>
          <w:lang w:val="uk-UA"/>
        </w:rPr>
        <w:t xml:space="preserve">         За даними </w:t>
      </w:r>
      <w:r w:rsidRPr="00ED1F80">
        <w:rPr>
          <w:bCs/>
          <w:lang w:val="uk-UA"/>
        </w:rPr>
        <w:t>Рахівського управління ГУ ДПС у Закарпатській області</w:t>
      </w:r>
      <w:r w:rsidRPr="00ED1F80">
        <w:rPr>
          <w:lang w:val="uk-UA"/>
        </w:rPr>
        <w:t xml:space="preserve">, платники єдиного податку І–ІІ груп, для яких ставки регулюються рішенням міської ради, сплачують до місцевого бюджету близько </w:t>
      </w:r>
      <w:r w:rsidR="00ED1F80" w:rsidRPr="00ED1F80">
        <w:rPr>
          <w:lang w:val="uk-UA"/>
        </w:rPr>
        <w:t>8</w:t>
      </w:r>
      <w:r w:rsidRPr="00ED1F80">
        <w:rPr>
          <w:lang w:val="uk-UA"/>
        </w:rPr>
        <w:t>,7 млн. грн. щорічно.</w:t>
      </w:r>
    </w:p>
    <w:p w:rsidR="00C9159F" w:rsidRPr="00ED1F80" w:rsidRDefault="00C9159F" w:rsidP="00C9159F">
      <w:pPr>
        <w:pStyle w:val="a3"/>
        <w:spacing w:before="0" w:beforeAutospacing="0" w:after="0" w:afterAutospacing="0"/>
        <w:jc w:val="both"/>
        <w:rPr>
          <w:lang w:val="uk-UA"/>
        </w:rPr>
      </w:pPr>
      <w:r w:rsidRPr="00ED1F80">
        <w:rPr>
          <w:i/>
          <w:sz w:val="28"/>
          <w:szCs w:val="28"/>
          <w:lang w:val="uk-UA"/>
        </w:rPr>
        <w:t>Основні групи, на які зазначена проблема справляє вплив: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190"/>
        <w:gridCol w:w="2701"/>
        <w:gridCol w:w="2448"/>
      </w:tblGrid>
      <w:tr w:rsidR="00ED1F80" w:rsidRPr="00ED1F80" w:rsidTr="008153EA">
        <w:trPr>
          <w:tblCellSpacing w:w="22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lang w:val="uk-UA"/>
              </w:rPr>
              <w:t>Групи (підгрупи)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lang w:val="uk-UA"/>
              </w:rPr>
              <w:t>Так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lang w:val="uk-UA"/>
              </w:rPr>
              <w:t>Ні</w:t>
            </w:r>
          </w:p>
        </w:tc>
      </w:tr>
      <w:tr w:rsidR="00ED1F80" w:rsidRPr="00ED1F80" w:rsidTr="008153EA">
        <w:trPr>
          <w:tblCellSpacing w:w="22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rPr>
                <w:lang w:val="uk-UA"/>
              </w:rPr>
            </w:pPr>
            <w:r w:rsidRPr="00ED1F80">
              <w:rPr>
                <w:lang w:val="uk-UA"/>
              </w:rPr>
              <w:t>Громадяни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lang w:val="uk-UA"/>
              </w:rPr>
              <w:t>V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rPr>
                <w:lang w:val="uk-UA"/>
              </w:rPr>
            </w:pPr>
            <w:r w:rsidRPr="00ED1F80">
              <w:rPr>
                <w:lang w:val="uk-UA"/>
              </w:rPr>
              <w:t> </w:t>
            </w:r>
          </w:p>
        </w:tc>
      </w:tr>
      <w:tr w:rsidR="00ED1F80" w:rsidRPr="00ED1F80" w:rsidTr="008153EA">
        <w:trPr>
          <w:tblCellSpacing w:w="22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rPr>
                <w:lang w:val="uk-UA"/>
              </w:rPr>
            </w:pPr>
            <w:r w:rsidRPr="00ED1F80">
              <w:rPr>
                <w:lang w:val="uk-UA"/>
              </w:rPr>
              <w:t>Держава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lang w:val="uk-UA"/>
              </w:rPr>
              <w:t>V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rPr>
                <w:lang w:val="uk-UA"/>
              </w:rPr>
            </w:pPr>
            <w:r w:rsidRPr="00ED1F80">
              <w:rPr>
                <w:lang w:val="uk-UA"/>
              </w:rPr>
              <w:t> </w:t>
            </w:r>
          </w:p>
        </w:tc>
      </w:tr>
      <w:tr w:rsidR="00ED1F80" w:rsidRPr="00ED1F80" w:rsidTr="008153EA">
        <w:trPr>
          <w:tblCellSpacing w:w="22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rPr>
                <w:lang w:val="uk-UA"/>
              </w:rPr>
            </w:pPr>
            <w:r w:rsidRPr="00ED1F80">
              <w:rPr>
                <w:lang w:val="uk-UA"/>
              </w:rPr>
              <w:t>Суб'єкти господарювання,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lang w:val="uk-UA"/>
              </w:rPr>
              <w:t>V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rPr>
                <w:lang w:val="uk-UA"/>
              </w:rPr>
            </w:pPr>
            <w:r w:rsidRPr="00ED1F80">
              <w:rPr>
                <w:lang w:val="uk-UA"/>
              </w:rPr>
              <w:t> </w:t>
            </w:r>
          </w:p>
        </w:tc>
      </w:tr>
      <w:tr w:rsidR="00ED1F80" w:rsidRPr="00ED1F80" w:rsidTr="008153EA">
        <w:trPr>
          <w:tblCellSpacing w:w="22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rPr>
                <w:lang w:val="uk-UA"/>
              </w:rPr>
            </w:pPr>
            <w:r w:rsidRPr="00ED1F80">
              <w:rPr>
                <w:lang w:val="uk-UA"/>
              </w:rPr>
              <w:t>у тому числі суб'єкти малого підприємництва*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lang w:val="uk-UA"/>
              </w:rPr>
              <w:t>V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rPr>
                <w:lang w:val="uk-UA"/>
              </w:rPr>
            </w:pPr>
            <w:r w:rsidRPr="00ED1F80">
              <w:rPr>
                <w:lang w:val="uk-UA"/>
              </w:rPr>
              <w:t> </w:t>
            </w:r>
          </w:p>
        </w:tc>
      </w:tr>
    </w:tbl>
    <w:p w:rsidR="00C9159F" w:rsidRPr="00ED1F80" w:rsidRDefault="00C9159F" w:rsidP="00C9159F">
      <w:pPr>
        <w:pStyle w:val="3"/>
        <w:spacing w:before="120" w:beforeAutospacing="0" w:after="0" w:afterAutospacing="0"/>
        <w:jc w:val="both"/>
        <w:rPr>
          <w:b w:val="0"/>
          <w:sz w:val="24"/>
          <w:szCs w:val="24"/>
          <w:lang w:val="uk-UA"/>
        </w:rPr>
      </w:pPr>
      <w:r w:rsidRPr="00ED1F80">
        <w:rPr>
          <w:b w:val="0"/>
          <w:sz w:val="24"/>
          <w:szCs w:val="24"/>
          <w:lang w:val="uk-UA"/>
        </w:rPr>
        <w:t xml:space="preserve">          З метою безумовного виконання вимог Податкового кодексу України та недопущення суперечливих ситуацій, а також з метою вирішення проблеми щодо врегулювання питань справляння місцевих податків і зборів в межах </w:t>
      </w:r>
      <w:r w:rsidRPr="00ED1F80">
        <w:rPr>
          <w:b w:val="0"/>
          <w:sz w:val="24"/>
          <w:lang w:val="uk-UA"/>
        </w:rPr>
        <w:t xml:space="preserve">Рахівської міської </w:t>
      </w:r>
      <w:r w:rsidR="00DD4C88" w:rsidRPr="00ED1F80">
        <w:rPr>
          <w:b w:val="0"/>
          <w:sz w:val="24"/>
          <w:lang w:val="uk-UA"/>
        </w:rPr>
        <w:t>територіальної громади</w:t>
      </w:r>
      <w:r w:rsidRPr="00ED1F80">
        <w:rPr>
          <w:b w:val="0"/>
          <w:sz w:val="24"/>
          <w:szCs w:val="24"/>
          <w:lang w:val="uk-UA"/>
        </w:rPr>
        <w:t xml:space="preserve">, і пропонується прийняття рішення </w:t>
      </w:r>
      <w:r w:rsidR="00A36DCB" w:rsidRPr="00ED1F80">
        <w:rPr>
          <w:b w:val="0"/>
          <w:sz w:val="24"/>
          <w:szCs w:val="24"/>
          <w:lang w:val="uk-UA"/>
        </w:rPr>
        <w:t>„</w:t>
      </w:r>
      <w:r w:rsidRPr="00ED1F80">
        <w:rPr>
          <w:b w:val="0"/>
          <w:sz w:val="24"/>
          <w:szCs w:val="24"/>
          <w:lang w:val="uk-UA"/>
        </w:rPr>
        <w:t>Про встановлення</w:t>
      </w:r>
      <w:r w:rsidR="00A36DCB" w:rsidRPr="00ED1F80">
        <w:rPr>
          <w:b w:val="0"/>
          <w:sz w:val="24"/>
          <w:szCs w:val="24"/>
          <w:lang w:val="uk-UA"/>
        </w:rPr>
        <w:t xml:space="preserve"> ставок із сплати</w:t>
      </w:r>
      <w:r w:rsidRPr="00ED1F80">
        <w:rPr>
          <w:b w:val="0"/>
          <w:sz w:val="24"/>
          <w:szCs w:val="24"/>
          <w:lang w:val="uk-UA"/>
        </w:rPr>
        <w:t xml:space="preserve"> єдиного податку</w:t>
      </w:r>
      <w:r w:rsidR="00A36DCB" w:rsidRPr="00ED1F80">
        <w:rPr>
          <w:b w:val="0"/>
          <w:sz w:val="24"/>
          <w:szCs w:val="24"/>
          <w:lang w:val="uk-UA"/>
        </w:rPr>
        <w:t>”</w:t>
      </w:r>
      <w:r w:rsidRPr="00ED1F80">
        <w:rPr>
          <w:b w:val="0"/>
          <w:sz w:val="24"/>
          <w:szCs w:val="24"/>
          <w:lang w:val="uk-UA"/>
        </w:rPr>
        <w:t xml:space="preserve"> </w:t>
      </w:r>
      <w:r w:rsidRPr="00ED1F80">
        <w:rPr>
          <w:b w:val="0"/>
          <w:noProof/>
          <w:sz w:val="24"/>
          <w:szCs w:val="24"/>
          <w:lang w:val="uk-UA"/>
        </w:rPr>
        <w:t xml:space="preserve">на території </w:t>
      </w:r>
      <w:r w:rsidRPr="00ED1F80">
        <w:rPr>
          <w:b w:val="0"/>
          <w:sz w:val="24"/>
          <w:szCs w:val="24"/>
          <w:lang w:val="uk-UA"/>
        </w:rPr>
        <w:t>Рахівської міської</w:t>
      </w:r>
      <w:r w:rsidRPr="00ED1F80">
        <w:rPr>
          <w:rStyle w:val="rvts10"/>
          <w:b w:val="0"/>
          <w:sz w:val="24"/>
          <w:szCs w:val="24"/>
          <w:lang w:val="uk-UA"/>
        </w:rPr>
        <w:t xml:space="preserve"> </w:t>
      </w:r>
      <w:r w:rsidR="00A36DCB" w:rsidRPr="00ED1F80">
        <w:rPr>
          <w:rStyle w:val="rvts10"/>
          <w:b w:val="0"/>
          <w:sz w:val="24"/>
          <w:szCs w:val="24"/>
          <w:lang w:val="uk-UA"/>
        </w:rPr>
        <w:t>територіальної громади</w:t>
      </w:r>
      <w:r w:rsidRPr="00ED1F80">
        <w:rPr>
          <w:b w:val="0"/>
          <w:sz w:val="24"/>
          <w:szCs w:val="24"/>
          <w:lang w:val="uk-UA"/>
        </w:rPr>
        <w:t xml:space="preserve">, так як проблема встановлення ставок не може бути розв’язана ринковими механізмами. </w:t>
      </w:r>
    </w:p>
    <w:p w:rsidR="00C9159F" w:rsidRPr="00ED1F80" w:rsidRDefault="00C9159F" w:rsidP="00C9159F">
      <w:pPr>
        <w:pStyle w:val="3"/>
        <w:spacing w:before="120" w:beforeAutospacing="0" w:after="0" w:afterAutospacing="0"/>
        <w:jc w:val="center"/>
        <w:rPr>
          <w:lang w:val="uk-UA"/>
        </w:rPr>
      </w:pPr>
      <w:r w:rsidRPr="00ED1F80">
        <w:rPr>
          <w:lang w:val="uk-UA"/>
        </w:rPr>
        <w:t>II. Цілі державного регулювання</w:t>
      </w:r>
    </w:p>
    <w:p w:rsidR="00C9159F" w:rsidRPr="00ED1F80" w:rsidRDefault="00C9159F" w:rsidP="00C9159F">
      <w:pPr>
        <w:pStyle w:val="3"/>
        <w:spacing w:before="120" w:beforeAutospacing="0" w:after="0" w:afterAutospacing="0"/>
        <w:jc w:val="center"/>
        <w:rPr>
          <w:lang w:val="uk-UA"/>
        </w:rPr>
      </w:pPr>
    </w:p>
    <w:p w:rsidR="00C9159F" w:rsidRPr="00ED1F80" w:rsidRDefault="00C9159F" w:rsidP="00C9159F">
      <w:pPr>
        <w:spacing w:after="0" w:line="240" w:lineRule="auto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proofErr w:type="spellStart"/>
      <w:r w:rsidRPr="00ED1F80">
        <w:rPr>
          <w:rStyle w:val="2"/>
          <w:rFonts w:ascii="Times New Roman" w:hAnsi="Times New Roman"/>
          <w:sz w:val="24"/>
          <w:szCs w:val="24"/>
          <w:lang w:val="uk-UA"/>
        </w:rPr>
        <w:t>Проєкт</w:t>
      </w:r>
      <w:proofErr w:type="spellEnd"/>
      <w:r w:rsidRPr="00ED1F80">
        <w:rPr>
          <w:rStyle w:val="2"/>
          <w:rFonts w:ascii="Times New Roman" w:hAnsi="Times New Roman"/>
          <w:sz w:val="24"/>
          <w:szCs w:val="24"/>
          <w:lang w:val="uk-UA"/>
        </w:rPr>
        <w:t xml:space="preserve"> рішення розроблено з ціллю:</w:t>
      </w:r>
    </w:p>
    <w:p w:rsidR="00C9159F" w:rsidRPr="00ED1F80" w:rsidRDefault="00C9159F" w:rsidP="00C9159F">
      <w:pPr>
        <w:numPr>
          <w:ilvl w:val="0"/>
          <w:numId w:val="1"/>
        </w:numPr>
        <w:spacing w:after="0" w:line="240" w:lineRule="auto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 w:rsidRPr="00ED1F80">
        <w:rPr>
          <w:rStyle w:val="2"/>
          <w:rFonts w:ascii="Times New Roman" w:hAnsi="Times New Roman"/>
          <w:sz w:val="24"/>
          <w:szCs w:val="24"/>
          <w:lang w:val="uk-UA"/>
        </w:rPr>
        <w:t xml:space="preserve">Виконання вимог чинного законодавства. </w:t>
      </w:r>
    </w:p>
    <w:p w:rsidR="00C9159F" w:rsidRPr="00ED1F80" w:rsidRDefault="00C9159F" w:rsidP="00C9159F">
      <w:pPr>
        <w:numPr>
          <w:ilvl w:val="0"/>
          <w:numId w:val="1"/>
        </w:numPr>
        <w:spacing w:after="0" w:line="240" w:lineRule="auto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 w:rsidRPr="00ED1F80">
        <w:rPr>
          <w:rStyle w:val="2"/>
          <w:rFonts w:ascii="Times New Roman" w:hAnsi="Times New Roman"/>
          <w:sz w:val="24"/>
          <w:szCs w:val="24"/>
          <w:lang w:val="uk-UA"/>
        </w:rPr>
        <w:t xml:space="preserve">Врегулювання правовідносин між Рахівською міською </w:t>
      </w:r>
      <w:r w:rsidR="00DD4C88" w:rsidRPr="00ED1F80">
        <w:rPr>
          <w:rStyle w:val="2"/>
          <w:rFonts w:ascii="Times New Roman" w:hAnsi="Times New Roman"/>
          <w:sz w:val="24"/>
          <w:szCs w:val="24"/>
          <w:lang w:val="uk-UA"/>
        </w:rPr>
        <w:t>територіальною громадою</w:t>
      </w:r>
      <w:r w:rsidRPr="00ED1F80">
        <w:rPr>
          <w:rStyle w:val="2"/>
          <w:rFonts w:ascii="Times New Roman" w:hAnsi="Times New Roman"/>
          <w:sz w:val="24"/>
          <w:szCs w:val="24"/>
          <w:lang w:val="uk-UA"/>
        </w:rPr>
        <w:t xml:space="preserve"> та суб’єктами господарювання в процесі нарахування та сплати єдиного податку.</w:t>
      </w:r>
    </w:p>
    <w:p w:rsidR="00C9159F" w:rsidRPr="00ED1F80" w:rsidRDefault="00C9159F" w:rsidP="00C9159F">
      <w:pPr>
        <w:numPr>
          <w:ilvl w:val="0"/>
          <w:numId w:val="1"/>
        </w:numPr>
        <w:spacing w:after="0" w:line="240" w:lineRule="auto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 w:rsidRPr="00ED1F80">
        <w:rPr>
          <w:rStyle w:val="2"/>
          <w:rFonts w:ascii="Times New Roman" w:hAnsi="Times New Roman"/>
          <w:sz w:val="24"/>
          <w:szCs w:val="24"/>
          <w:lang w:val="uk-UA"/>
        </w:rPr>
        <w:t xml:space="preserve">Встановлення ставок єдиного податку, які б дозволили забезпечити сталі надходження до місцевого бюджету для виконання програм соціально – економічного розвитку територіальної громади. </w:t>
      </w:r>
    </w:p>
    <w:p w:rsidR="00C9159F" w:rsidRPr="00ED1F80" w:rsidRDefault="00C9159F" w:rsidP="00C9159F">
      <w:pPr>
        <w:spacing w:after="0" w:line="240" w:lineRule="auto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</w:p>
    <w:p w:rsidR="00C9159F" w:rsidRPr="00ED1F80" w:rsidRDefault="00C9159F" w:rsidP="00C9159F">
      <w:pPr>
        <w:spacing w:after="0" w:line="240" w:lineRule="auto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</w:p>
    <w:p w:rsidR="00C9159F" w:rsidRPr="00ED1F80" w:rsidRDefault="00C9159F" w:rsidP="00C9159F">
      <w:pPr>
        <w:pStyle w:val="3"/>
        <w:spacing w:before="120" w:beforeAutospacing="0" w:after="0" w:afterAutospacing="0"/>
        <w:jc w:val="center"/>
        <w:rPr>
          <w:lang w:val="uk-UA"/>
        </w:rPr>
      </w:pPr>
      <w:r w:rsidRPr="00ED1F80">
        <w:rPr>
          <w:lang w:val="uk-UA"/>
        </w:rPr>
        <w:t>III. Визначення та оцінка альтернативних способів досягнення цілей</w:t>
      </w:r>
    </w:p>
    <w:p w:rsidR="00C9159F" w:rsidRPr="00ED1F80" w:rsidRDefault="00C9159F" w:rsidP="00C9159F">
      <w:pPr>
        <w:pStyle w:val="a3"/>
        <w:spacing w:before="120" w:beforeAutospacing="0" w:after="0" w:afterAutospacing="0"/>
        <w:jc w:val="both"/>
        <w:rPr>
          <w:lang w:val="uk-UA"/>
        </w:rPr>
      </w:pPr>
      <w:r w:rsidRPr="00ED1F80">
        <w:rPr>
          <w:lang w:val="uk-UA"/>
        </w:rPr>
        <w:t>1. Визначення альтернативних способів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438"/>
        <w:gridCol w:w="5901"/>
      </w:tblGrid>
      <w:tr w:rsidR="00ED1F80" w:rsidRPr="00ED1F80" w:rsidTr="008153EA">
        <w:trPr>
          <w:tblCellSpacing w:w="22" w:type="dxa"/>
        </w:trPr>
        <w:tc>
          <w:tcPr>
            <w:tcW w:w="1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lang w:val="uk-UA"/>
              </w:rPr>
              <w:t>Вид альтернативи</w:t>
            </w:r>
          </w:p>
        </w:tc>
        <w:tc>
          <w:tcPr>
            <w:tcW w:w="3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lang w:val="uk-UA"/>
              </w:rPr>
              <w:t>Опис альтернативи</w:t>
            </w:r>
          </w:p>
        </w:tc>
      </w:tr>
      <w:tr w:rsidR="00ED1F80" w:rsidRPr="004C2631" w:rsidTr="008153EA">
        <w:trPr>
          <w:trHeight w:val="3098"/>
          <w:tblCellSpacing w:w="22" w:type="dxa"/>
        </w:trPr>
        <w:tc>
          <w:tcPr>
            <w:tcW w:w="180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rStyle w:val="2"/>
                <w:lang w:val="uk-UA"/>
              </w:rPr>
              <w:t xml:space="preserve">Не прийняття регуляторного </w:t>
            </w:r>
            <w:proofErr w:type="spellStart"/>
            <w:r w:rsidRPr="00ED1F80">
              <w:rPr>
                <w:rStyle w:val="2"/>
                <w:lang w:val="uk-UA"/>
              </w:rPr>
              <w:t>акта</w:t>
            </w:r>
            <w:proofErr w:type="spellEnd"/>
            <w:r w:rsidRPr="00ED1F80">
              <w:rPr>
                <w:rStyle w:val="2"/>
                <w:lang w:val="uk-UA"/>
              </w:rPr>
              <w:t xml:space="preserve"> (залишення існуючої на даний момент ситуації без змін)</w:t>
            </w:r>
          </w:p>
        </w:tc>
        <w:tc>
          <w:tcPr>
            <w:tcW w:w="312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9159F" w:rsidRPr="00ED1F80" w:rsidRDefault="00A36DCB" w:rsidP="008153EA">
            <w:pPr>
              <w:spacing w:after="0" w:line="240" w:lineRule="auto"/>
              <w:jc w:val="both"/>
              <w:rPr>
                <w:rStyle w:val="2"/>
                <w:rFonts w:ascii="Times New Roman" w:hAnsi="Times New Roman"/>
                <w:lang w:val="uk-UA"/>
              </w:rPr>
            </w:pPr>
            <w:r w:rsidRPr="00ED1F80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По закінченню 202</w:t>
            </w:r>
            <w:r w:rsidR="00E85145" w:rsidRPr="00ED1F80">
              <w:rPr>
                <w:rStyle w:val="2"/>
                <w:rFonts w:ascii="Times New Roman" w:hAnsi="Times New Roman"/>
                <w:sz w:val="24"/>
                <w:szCs w:val="24"/>
              </w:rPr>
              <w:t>2</w:t>
            </w:r>
            <w:r w:rsidR="00C9159F" w:rsidRPr="00ED1F80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 року діюче на території Рахівської міської ради рішення про встановлення єдиного податку має бути скасовано як таке, що не пройшло регуляторну процедуру і не поширюється на подальші періоди. Суб’єкти господарювання залишаться без нормативного акту.</w:t>
            </w:r>
            <w:r w:rsidR="00C9159F" w:rsidRPr="00ED1F80">
              <w:rPr>
                <w:rStyle w:val="2"/>
                <w:rFonts w:ascii="Times New Roman" w:hAnsi="Times New Roman"/>
                <w:lang w:val="uk-UA"/>
              </w:rPr>
              <w:t xml:space="preserve"> </w:t>
            </w:r>
          </w:p>
          <w:p w:rsidR="00C9159F" w:rsidRPr="00ED1F80" w:rsidRDefault="00C9159F" w:rsidP="00886273">
            <w:pPr>
              <w:pStyle w:val="a3"/>
              <w:spacing w:before="0" w:beforeAutospacing="0" w:after="0" w:afterAutospacing="0"/>
              <w:jc w:val="both"/>
              <w:rPr>
                <w:rStyle w:val="2"/>
                <w:lang w:val="uk-UA"/>
              </w:rPr>
            </w:pPr>
            <w:r w:rsidRPr="00ED1F80">
              <w:rPr>
                <w:lang w:val="uk-UA"/>
              </w:rPr>
              <w:t xml:space="preserve">Відповідно до підпункту 12.3.5 пункту 12.3 статті 12 Податкового кодексу України  єдиний податок буде справлятись виходячи з норм Кодексу із застосуванням </w:t>
            </w:r>
            <w:r w:rsidR="00A36DCB" w:rsidRPr="00ED1F80">
              <w:rPr>
                <w:lang w:val="uk-UA"/>
              </w:rPr>
              <w:t xml:space="preserve">ставок, які діяли до 31 грудня року, що передує бюджетному періоду, в якому планується застосування таких </w:t>
            </w:r>
            <w:r w:rsidR="00886273" w:rsidRPr="00ED1F80">
              <w:rPr>
                <w:lang w:val="uk-UA"/>
              </w:rPr>
              <w:t>місцевих податків та зборів</w:t>
            </w:r>
            <w:r w:rsidRPr="00ED1F80">
              <w:rPr>
                <w:lang w:val="uk-UA"/>
              </w:rPr>
              <w:t xml:space="preserve">.  </w:t>
            </w:r>
          </w:p>
        </w:tc>
      </w:tr>
      <w:tr w:rsidR="00C9159F" w:rsidRPr="00ED1F80" w:rsidTr="008153EA">
        <w:trPr>
          <w:trHeight w:val="1774"/>
          <w:tblCellSpacing w:w="22" w:type="dxa"/>
        </w:trPr>
        <w:tc>
          <w:tcPr>
            <w:tcW w:w="1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86273">
            <w:pPr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 w:rsidRPr="00ED1F80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Прийняття регуляторного </w:t>
            </w:r>
            <w:proofErr w:type="spellStart"/>
            <w:r w:rsidRPr="00ED1F80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акта</w:t>
            </w:r>
            <w:proofErr w:type="spellEnd"/>
            <w:r w:rsidRPr="00ED1F80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 відповідно до Податкового кодексу України з діючими у 202</w:t>
            </w:r>
            <w:r w:rsidR="00886273" w:rsidRPr="00ED1F80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ED1F80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 році максимальними ставками для платників єдиного податку І-ІІ груп</w:t>
            </w:r>
          </w:p>
        </w:tc>
        <w:tc>
          <w:tcPr>
            <w:tcW w:w="3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spacing w:after="0" w:line="240" w:lineRule="auto"/>
              <w:jc w:val="both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 w:rsidRPr="00ED1F80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Забезпечення досягнення цілей державного регулювання.</w:t>
            </w:r>
          </w:p>
          <w:p w:rsidR="00C9159F" w:rsidRPr="00ED1F80" w:rsidRDefault="00C9159F" w:rsidP="008153EA">
            <w:pPr>
              <w:spacing w:after="0" w:line="240" w:lineRule="auto"/>
              <w:jc w:val="both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 w:rsidRPr="00ED1F80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Сталі надходження до міського бюджету </w:t>
            </w:r>
            <w:r w:rsidRPr="00ED1F80">
              <w:rPr>
                <w:rFonts w:ascii="Times New Roman" w:hAnsi="Times New Roman"/>
                <w:sz w:val="24"/>
                <w:szCs w:val="24"/>
                <w:lang w:val="uk-UA"/>
              </w:rPr>
              <w:t>без погіршення умов для розвитку мікробізнесу.</w:t>
            </w:r>
          </w:p>
          <w:p w:rsidR="00C9159F" w:rsidRPr="00ED1F80" w:rsidRDefault="00C9159F" w:rsidP="008862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1F80">
              <w:rPr>
                <w:rFonts w:ascii="Times New Roman" w:hAnsi="Times New Roman"/>
                <w:sz w:val="24"/>
                <w:szCs w:val="24"/>
                <w:lang w:val="uk-UA"/>
              </w:rPr>
              <w:t>Належне фінансування програм соціаль</w:t>
            </w:r>
            <w:r w:rsidR="00886273" w:rsidRPr="00ED1F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но-економічного розвитку міської територіальної громади </w:t>
            </w:r>
            <w:r w:rsidRPr="00ED1F8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</w:tbl>
    <w:p w:rsidR="00667251" w:rsidRPr="00ED1F80" w:rsidRDefault="00667251" w:rsidP="00C9159F">
      <w:pPr>
        <w:pStyle w:val="a3"/>
        <w:spacing w:before="120" w:beforeAutospacing="0" w:after="0" w:afterAutospacing="0"/>
        <w:jc w:val="both"/>
        <w:rPr>
          <w:lang w:val="uk-UA"/>
        </w:rPr>
      </w:pPr>
    </w:p>
    <w:p w:rsidR="00C9159F" w:rsidRPr="00ED1F80" w:rsidRDefault="00C9159F" w:rsidP="00C9159F">
      <w:pPr>
        <w:pStyle w:val="a3"/>
        <w:spacing w:before="120" w:beforeAutospacing="0" w:after="0" w:afterAutospacing="0"/>
        <w:jc w:val="both"/>
        <w:rPr>
          <w:lang w:val="uk-UA"/>
        </w:rPr>
      </w:pPr>
      <w:r w:rsidRPr="00ED1F80">
        <w:rPr>
          <w:lang w:val="uk-UA"/>
        </w:rPr>
        <w:t>2. Оцінка вибраних альтернативних способів досягнення цілей</w:t>
      </w:r>
    </w:p>
    <w:p w:rsidR="00C9159F" w:rsidRPr="00ED1F80" w:rsidRDefault="00C9159F" w:rsidP="00C9159F">
      <w:pPr>
        <w:pStyle w:val="a3"/>
        <w:spacing w:before="0" w:beforeAutospacing="0" w:after="0" w:afterAutospacing="0" w:line="240" w:lineRule="exact"/>
        <w:jc w:val="both"/>
        <w:rPr>
          <w:lang w:val="uk-UA"/>
        </w:rPr>
      </w:pPr>
      <w:r w:rsidRPr="00ED1F80">
        <w:rPr>
          <w:lang w:val="uk-UA"/>
        </w:rPr>
        <w:t xml:space="preserve">Опис </w:t>
      </w:r>
      <w:proofErr w:type="spellStart"/>
      <w:r w:rsidRPr="00ED1F80">
        <w:rPr>
          <w:lang w:val="uk-UA"/>
        </w:rPr>
        <w:t>вигод</w:t>
      </w:r>
      <w:proofErr w:type="spellEnd"/>
      <w:r w:rsidRPr="00ED1F80">
        <w:rPr>
          <w:lang w:val="uk-UA"/>
        </w:rPr>
        <w:t xml:space="preserve"> та витрат за кожною альтернативою для сфер інтересів держави, громадян та суб'єктів господарювання.</w:t>
      </w:r>
    </w:p>
    <w:p w:rsidR="00C9159F" w:rsidRPr="00ED1F80" w:rsidRDefault="00C9159F" w:rsidP="00C9159F">
      <w:pPr>
        <w:pStyle w:val="a3"/>
        <w:spacing w:before="0" w:beforeAutospacing="0" w:after="0" w:afterAutospacing="0" w:line="240" w:lineRule="exact"/>
        <w:jc w:val="both"/>
        <w:rPr>
          <w:lang w:val="uk-UA"/>
        </w:rPr>
      </w:pPr>
      <w:r w:rsidRPr="00ED1F80">
        <w:rPr>
          <w:lang w:val="uk-UA"/>
        </w:rPr>
        <w:t>Оцінка впливу на сферу інтересів держави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181"/>
        <w:gridCol w:w="2901"/>
        <w:gridCol w:w="3257"/>
      </w:tblGrid>
      <w:tr w:rsidR="00ED1F80" w:rsidRPr="00ED1F80" w:rsidTr="008153EA">
        <w:trPr>
          <w:tblCellSpacing w:w="22" w:type="dxa"/>
        </w:trPr>
        <w:tc>
          <w:tcPr>
            <w:tcW w:w="1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lang w:val="uk-UA"/>
              </w:rPr>
              <w:t>Вид альтернативи</w:t>
            </w:r>
          </w:p>
        </w:tc>
        <w:tc>
          <w:tcPr>
            <w:tcW w:w="1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lang w:val="uk-UA"/>
              </w:rPr>
              <w:t>Вигоди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lang w:val="uk-UA"/>
              </w:rPr>
              <w:t>Витрати</w:t>
            </w:r>
          </w:p>
        </w:tc>
      </w:tr>
      <w:tr w:rsidR="00ED1F80" w:rsidRPr="004C2631" w:rsidTr="008153EA">
        <w:trPr>
          <w:trHeight w:val="292"/>
          <w:tblCellSpacing w:w="22" w:type="dxa"/>
        </w:trPr>
        <w:tc>
          <w:tcPr>
            <w:tcW w:w="166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rStyle w:val="2"/>
                <w:lang w:val="uk-UA"/>
              </w:rPr>
              <w:t xml:space="preserve">Не прийняття регуляторного </w:t>
            </w:r>
            <w:proofErr w:type="spellStart"/>
            <w:r w:rsidRPr="00ED1F80">
              <w:rPr>
                <w:rStyle w:val="2"/>
                <w:lang w:val="uk-UA"/>
              </w:rPr>
              <w:t>акта</w:t>
            </w:r>
            <w:proofErr w:type="spellEnd"/>
            <w:r w:rsidRPr="00ED1F80">
              <w:rPr>
                <w:rStyle w:val="2"/>
                <w:lang w:val="uk-UA"/>
              </w:rPr>
              <w:t xml:space="preserve"> (залишення існуючої на даний момент ситуації без змін)</w:t>
            </w:r>
          </w:p>
        </w:tc>
        <w:tc>
          <w:tcPr>
            <w:tcW w:w="153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lang w:val="uk-UA"/>
              </w:rPr>
              <w:t>Відсутні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9159F" w:rsidRPr="00ED1F80" w:rsidRDefault="000A6101" w:rsidP="008153EA">
            <w:pPr>
              <w:pStyle w:val="a3"/>
              <w:spacing w:before="0" w:beforeAutospacing="0" w:after="0" w:afterAutospacing="0"/>
              <w:jc w:val="both"/>
              <w:rPr>
                <w:rStyle w:val="2"/>
                <w:lang w:val="uk-UA"/>
              </w:rPr>
            </w:pPr>
            <w:r w:rsidRPr="00ED1F80">
              <w:rPr>
                <w:rStyle w:val="2"/>
                <w:lang w:val="uk-UA"/>
              </w:rPr>
              <w:t>По закінченню 202</w:t>
            </w:r>
            <w:r w:rsidR="00027A1F" w:rsidRPr="00ED1F80">
              <w:rPr>
                <w:rStyle w:val="2"/>
                <w:lang w:val="uk-UA"/>
              </w:rPr>
              <w:t>2</w:t>
            </w:r>
            <w:r w:rsidR="00C9159F" w:rsidRPr="00ED1F80">
              <w:rPr>
                <w:rStyle w:val="2"/>
                <w:lang w:val="uk-UA"/>
              </w:rPr>
              <w:t xml:space="preserve"> року рішення</w:t>
            </w:r>
            <w:r w:rsidR="00C9159F" w:rsidRPr="00ED1F80">
              <w:rPr>
                <w:lang w:val="uk-UA"/>
              </w:rPr>
              <w:t xml:space="preserve"> </w:t>
            </w:r>
            <w:r w:rsidR="00C9159F" w:rsidRPr="00ED1F80">
              <w:rPr>
                <w:rStyle w:val="2"/>
                <w:lang w:val="uk-UA"/>
              </w:rPr>
              <w:t>про встановлення єдиного податку має бути скасовано як таке, що не пройшло регуляторну процедуру і не поширюється на подальші періоди.</w:t>
            </w:r>
          </w:p>
          <w:p w:rsidR="00C9159F" w:rsidRPr="00ED1F80" w:rsidRDefault="00C9159F" w:rsidP="008153EA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ED1F80">
              <w:rPr>
                <w:lang w:val="uk-UA"/>
              </w:rPr>
              <w:t xml:space="preserve">Відповідно до підпункту </w:t>
            </w:r>
            <w:r w:rsidR="000A6101" w:rsidRPr="00ED1F80">
              <w:rPr>
                <w:lang w:val="uk-UA"/>
              </w:rPr>
              <w:t xml:space="preserve">Відповідно до підпункту 12.3.5 пункту 12.3 статті 12 Податкового кодексу України  єдиний податок буде справлятись виходячи з норм Кодексу із застосуванням ставок, які діяли до 31 грудня року, що передує бюджетному періоду, в якому планується застосування таких місцевих податків та зборів.  </w:t>
            </w:r>
            <w:r w:rsidRPr="00ED1F80">
              <w:rPr>
                <w:lang w:val="uk-UA"/>
              </w:rPr>
              <w:t xml:space="preserve">    </w:t>
            </w:r>
          </w:p>
        </w:tc>
      </w:tr>
      <w:tr w:rsidR="00ED1F80" w:rsidRPr="00ED1F80" w:rsidTr="008153EA">
        <w:trPr>
          <w:trHeight w:val="3167"/>
          <w:tblCellSpacing w:w="22" w:type="dxa"/>
        </w:trPr>
        <w:tc>
          <w:tcPr>
            <w:tcW w:w="1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4F61AA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rStyle w:val="2"/>
                <w:lang w:val="uk-UA"/>
              </w:rPr>
              <w:lastRenderedPageBreak/>
              <w:t xml:space="preserve">Прийняття регуляторного </w:t>
            </w:r>
            <w:proofErr w:type="spellStart"/>
            <w:r w:rsidRPr="00ED1F80">
              <w:rPr>
                <w:rStyle w:val="2"/>
                <w:lang w:val="uk-UA"/>
              </w:rPr>
              <w:t>акта</w:t>
            </w:r>
            <w:proofErr w:type="spellEnd"/>
            <w:r w:rsidRPr="00ED1F80">
              <w:rPr>
                <w:rStyle w:val="2"/>
                <w:lang w:val="uk-UA"/>
              </w:rPr>
              <w:t xml:space="preserve"> відповідно до Податкового кодексу України з діючими у 202</w:t>
            </w:r>
            <w:r w:rsidR="004F61AA" w:rsidRPr="00ED1F80">
              <w:rPr>
                <w:rStyle w:val="2"/>
                <w:lang w:val="uk-UA"/>
              </w:rPr>
              <w:t xml:space="preserve">3 </w:t>
            </w:r>
            <w:r w:rsidRPr="00ED1F80">
              <w:rPr>
                <w:rStyle w:val="2"/>
                <w:lang w:val="uk-UA"/>
              </w:rPr>
              <w:t>році максимальними ставками для платників єдиного податку І-ІІ груп.</w:t>
            </w:r>
          </w:p>
        </w:tc>
        <w:tc>
          <w:tcPr>
            <w:tcW w:w="1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spacing w:after="0" w:line="240" w:lineRule="auto"/>
              <w:jc w:val="both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 w:rsidRPr="00ED1F80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Забезпечує досягнення цілей державного регулювання, сталість надходжень до місцевого бюджету </w:t>
            </w:r>
            <w:r w:rsidRPr="00ED1F80">
              <w:rPr>
                <w:rFonts w:ascii="Times New Roman" w:hAnsi="Times New Roman"/>
                <w:sz w:val="24"/>
                <w:szCs w:val="24"/>
                <w:lang w:val="uk-UA"/>
              </w:rPr>
              <w:t>без погіршення умов для розвитку мікробізнесу, а також належне фінансування програм соціально-економічного розвитку</w:t>
            </w:r>
            <w:r w:rsidRPr="00ED1F80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 територіальної громади</w:t>
            </w:r>
            <w:r w:rsidRPr="00ED1F8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C9159F" w:rsidRPr="00ED1F80" w:rsidRDefault="00C9159F" w:rsidP="008153EA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lang w:val="uk-UA"/>
              </w:rPr>
              <w:t>Відсутні</w:t>
            </w:r>
          </w:p>
        </w:tc>
      </w:tr>
    </w:tbl>
    <w:p w:rsidR="00C9159F" w:rsidRPr="00ED1F80" w:rsidRDefault="00C9159F" w:rsidP="00C9159F">
      <w:pPr>
        <w:pStyle w:val="a3"/>
        <w:spacing w:before="120" w:beforeAutospacing="0" w:after="0" w:afterAutospacing="0"/>
        <w:jc w:val="both"/>
        <w:rPr>
          <w:lang w:val="uk-UA"/>
        </w:rPr>
      </w:pPr>
      <w:r w:rsidRPr="00ED1F80">
        <w:rPr>
          <w:lang w:val="uk-UA"/>
        </w:rPr>
        <w:t>Оцінка впливу на сферу інтересів громадян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181"/>
        <w:gridCol w:w="3068"/>
        <w:gridCol w:w="3090"/>
      </w:tblGrid>
      <w:tr w:rsidR="00ED1F80" w:rsidRPr="00ED1F80" w:rsidTr="008153EA">
        <w:trPr>
          <w:tblCellSpacing w:w="22" w:type="dxa"/>
        </w:trPr>
        <w:tc>
          <w:tcPr>
            <w:tcW w:w="1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lang w:val="uk-UA"/>
              </w:rPr>
              <w:t>Вид альтернативи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lang w:val="uk-UA"/>
              </w:rPr>
              <w:t>Вигоди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lang w:val="uk-UA"/>
              </w:rPr>
              <w:t>Витрати</w:t>
            </w:r>
          </w:p>
        </w:tc>
      </w:tr>
      <w:tr w:rsidR="00ED1F80" w:rsidRPr="00ED1F80" w:rsidTr="008153EA">
        <w:trPr>
          <w:trHeight w:val="1111"/>
          <w:tblCellSpacing w:w="22" w:type="dxa"/>
        </w:trPr>
        <w:tc>
          <w:tcPr>
            <w:tcW w:w="166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rStyle w:val="2"/>
                <w:lang w:val="uk-UA"/>
              </w:rPr>
              <w:t xml:space="preserve">Не прийняття регуляторного </w:t>
            </w:r>
            <w:proofErr w:type="spellStart"/>
            <w:r w:rsidRPr="00ED1F80">
              <w:rPr>
                <w:rStyle w:val="2"/>
                <w:lang w:val="uk-UA"/>
              </w:rPr>
              <w:t>акта</w:t>
            </w:r>
            <w:proofErr w:type="spellEnd"/>
            <w:r w:rsidRPr="00ED1F80">
              <w:rPr>
                <w:rStyle w:val="2"/>
                <w:lang w:val="uk-UA"/>
              </w:rPr>
              <w:t xml:space="preserve"> (залишення існуючої на даний момент ситуації без змін)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1F80">
              <w:rPr>
                <w:rFonts w:ascii="Times New Roman" w:hAnsi="Times New Roman"/>
                <w:sz w:val="24"/>
                <w:szCs w:val="24"/>
                <w:lang w:val="uk-UA"/>
              </w:rPr>
              <w:t>Можливе незначне зменшення споживчих цін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lang w:val="uk-UA"/>
              </w:rPr>
              <w:t>Відсутні</w:t>
            </w:r>
          </w:p>
        </w:tc>
      </w:tr>
      <w:tr w:rsidR="00ED1F80" w:rsidRPr="00ED1F80" w:rsidTr="008153EA">
        <w:trPr>
          <w:tblCellSpacing w:w="22" w:type="dxa"/>
        </w:trPr>
        <w:tc>
          <w:tcPr>
            <w:tcW w:w="1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4F61AA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rStyle w:val="2"/>
                <w:lang w:val="uk-UA"/>
              </w:rPr>
              <w:t xml:space="preserve">Прийняття регуляторного </w:t>
            </w:r>
            <w:proofErr w:type="spellStart"/>
            <w:r w:rsidRPr="00ED1F80">
              <w:rPr>
                <w:rStyle w:val="2"/>
                <w:lang w:val="uk-UA"/>
              </w:rPr>
              <w:t>акта</w:t>
            </w:r>
            <w:proofErr w:type="spellEnd"/>
            <w:r w:rsidRPr="00ED1F80">
              <w:rPr>
                <w:rStyle w:val="2"/>
                <w:lang w:val="uk-UA"/>
              </w:rPr>
              <w:t xml:space="preserve"> відповідно до Податкового кодексу України з діючими у 202</w:t>
            </w:r>
            <w:r w:rsidR="004F61AA" w:rsidRPr="00ED1F80">
              <w:rPr>
                <w:rStyle w:val="2"/>
                <w:lang w:val="uk-UA"/>
              </w:rPr>
              <w:t>3</w:t>
            </w:r>
            <w:r w:rsidRPr="00ED1F80">
              <w:rPr>
                <w:rStyle w:val="2"/>
                <w:lang w:val="uk-UA"/>
              </w:rPr>
              <w:t xml:space="preserve"> році максимальними ставками для платників єдиного податку І-ІІ груп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spacing w:after="0" w:line="240" w:lineRule="auto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 w:rsidRPr="00ED1F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Виділення коштів з міського бюджету </w:t>
            </w:r>
            <w:r w:rsidR="00DD4C88" w:rsidRPr="00ED1F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громади </w:t>
            </w:r>
            <w:r w:rsidRPr="00ED1F80">
              <w:rPr>
                <w:rFonts w:ascii="Times New Roman" w:hAnsi="Times New Roman"/>
                <w:sz w:val="24"/>
                <w:szCs w:val="24"/>
                <w:lang w:val="uk-UA"/>
              </w:rPr>
              <w:t>на програми соціально-економічного розвитку</w:t>
            </w:r>
            <w:r w:rsidRPr="00ED1F80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 територіальної громади.</w:t>
            </w:r>
            <w:r w:rsidRPr="00ED1F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C9159F" w:rsidRPr="00ED1F80" w:rsidRDefault="00C9159F" w:rsidP="008153E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1F80">
              <w:rPr>
                <w:rFonts w:ascii="Times New Roman" w:hAnsi="Times New Roman"/>
                <w:sz w:val="24"/>
                <w:szCs w:val="24"/>
                <w:lang w:val="uk-UA"/>
              </w:rPr>
              <w:t>Відсутні</w:t>
            </w:r>
          </w:p>
        </w:tc>
      </w:tr>
    </w:tbl>
    <w:p w:rsidR="00C9159F" w:rsidRPr="00ED1F80" w:rsidRDefault="00C9159F" w:rsidP="00C9159F">
      <w:pPr>
        <w:pStyle w:val="a3"/>
        <w:spacing w:before="120" w:beforeAutospacing="0" w:after="0" w:afterAutospacing="0"/>
        <w:jc w:val="both"/>
        <w:rPr>
          <w:lang w:val="uk-UA"/>
        </w:rPr>
      </w:pPr>
      <w:r w:rsidRPr="00ED1F80">
        <w:rPr>
          <w:lang w:val="uk-UA"/>
        </w:rPr>
        <w:t>Оцінка впливу на сферу інтересів суб'єктів господарювання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323"/>
        <w:gridCol w:w="1399"/>
        <w:gridCol w:w="1489"/>
        <w:gridCol w:w="1399"/>
        <w:gridCol w:w="1399"/>
        <w:gridCol w:w="1330"/>
      </w:tblGrid>
      <w:tr w:rsidR="00ED1F80" w:rsidRPr="00ED1F80" w:rsidTr="008153EA">
        <w:trPr>
          <w:tblCellSpacing w:w="22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lang w:val="uk-UA"/>
              </w:rPr>
              <w:t>Показник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lang w:val="uk-UA"/>
              </w:rPr>
              <w:t>Великі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lang w:val="uk-UA"/>
              </w:rPr>
              <w:t>Середні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lang w:val="uk-UA"/>
              </w:rPr>
              <w:t>Малі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lang w:val="uk-UA"/>
              </w:rPr>
              <w:t>Мікро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lang w:val="uk-UA"/>
              </w:rPr>
              <w:t>Разом</w:t>
            </w:r>
          </w:p>
        </w:tc>
      </w:tr>
      <w:tr w:rsidR="00ED1F80" w:rsidRPr="00ED1F80" w:rsidTr="008153EA">
        <w:trPr>
          <w:tblCellSpacing w:w="22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lang w:val="uk-UA"/>
              </w:rPr>
              <w:t>Кількість суб'єктів господарювання, що підпадають під дію регулювання, одиниць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lang w:val="uk-UA"/>
              </w:rPr>
              <w:t> 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lang w:val="uk-UA"/>
              </w:rPr>
              <w:t>46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lang w:val="uk-UA"/>
              </w:rPr>
              <w:t>444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lang w:val="uk-UA"/>
              </w:rPr>
              <w:t>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lang w:val="uk-UA"/>
              </w:rPr>
              <w:t>490</w:t>
            </w:r>
          </w:p>
        </w:tc>
      </w:tr>
      <w:tr w:rsidR="00C9159F" w:rsidRPr="00ED1F80" w:rsidTr="008153EA">
        <w:trPr>
          <w:tblCellSpacing w:w="22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lang w:val="uk-UA"/>
              </w:rPr>
              <w:t>Питома вага групи у загальній кількості, відсотків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lang w:val="uk-UA"/>
              </w:rPr>
              <w:t>0 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lang w:val="uk-UA"/>
              </w:rPr>
              <w:t>9,38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lang w:val="uk-UA"/>
              </w:rPr>
              <w:t>90,61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lang w:val="uk-UA"/>
              </w:rPr>
              <w:t>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lang w:val="uk-UA"/>
              </w:rPr>
              <w:t>100</w:t>
            </w:r>
          </w:p>
        </w:tc>
      </w:tr>
    </w:tbl>
    <w:p w:rsidR="00C9159F" w:rsidRPr="00ED1F80" w:rsidRDefault="00C9159F" w:rsidP="00C9159F">
      <w:pPr>
        <w:pStyle w:val="a3"/>
        <w:spacing w:before="0" w:beforeAutospacing="0" w:after="0" w:afterAutospacing="0"/>
        <w:jc w:val="both"/>
        <w:rPr>
          <w:lang w:val="uk-UA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181"/>
        <w:gridCol w:w="3068"/>
        <w:gridCol w:w="3090"/>
      </w:tblGrid>
      <w:tr w:rsidR="00ED1F80" w:rsidRPr="00ED1F80" w:rsidTr="008153EA">
        <w:trPr>
          <w:tblCellSpacing w:w="22" w:type="dxa"/>
        </w:trPr>
        <w:tc>
          <w:tcPr>
            <w:tcW w:w="1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ED1F80">
              <w:rPr>
                <w:lang w:val="uk-UA"/>
              </w:rPr>
              <w:t>Вид альтернативи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ED1F80">
              <w:rPr>
                <w:lang w:val="uk-UA"/>
              </w:rPr>
              <w:t>Вигоди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ED1F80">
              <w:rPr>
                <w:lang w:val="uk-UA"/>
              </w:rPr>
              <w:t>Витрати</w:t>
            </w:r>
          </w:p>
        </w:tc>
      </w:tr>
      <w:tr w:rsidR="00ED1F80" w:rsidRPr="00ED1F80" w:rsidTr="008153EA">
        <w:trPr>
          <w:trHeight w:val="2227"/>
          <w:tblCellSpacing w:w="22" w:type="dxa"/>
        </w:trPr>
        <w:tc>
          <w:tcPr>
            <w:tcW w:w="166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ED1F80">
              <w:rPr>
                <w:rStyle w:val="2"/>
                <w:lang w:val="uk-UA"/>
              </w:rPr>
              <w:t xml:space="preserve">Не прийняття регуляторного </w:t>
            </w:r>
            <w:proofErr w:type="spellStart"/>
            <w:r w:rsidRPr="00ED1F80">
              <w:rPr>
                <w:rStyle w:val="2"/>
                <w:lang w:val="uk-UA"/>
              </w:rPr>
              <w:t>акта</w:t>
            </w:r>
            <w:proofErr w:type="spellEnd"/>
            <w:r w:rsidRPr="00ED1F80">
              <w:rPr>
                <w:rStyle w:val="2"/>
                <w:lang w:val="uk-UA"/>
              </w:rPr>
              <w:t xml:space="preserve"> (залишення існуючої на даний момент ситуації без змін)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9159F" w:rsidRPr="00ED1F80" w:rsidRDefault="00C9159F" w:rsidP="000A6101">
            <w:pPr>
              <w:pStyle w:val="a3"/>
              <w:spacing w:before="0" w:beforeAutospacing="0" w:after="0" w:afterAutospacing="0"/>
              <w:jc w:val="both"/>
              <w:rPr>
                <w:rStyle w:val="2"/>
                <w:lang w:val="uk-UA"/>
              </w:rPr>
            </w:pPr>
            <w:r w:rsidRPr="00ED1F80">
              <w:rPr>
                <w:lang w:val="uk-UA"/>
              </w:rPr>
              <w:t xml:space="preserve">Суб'єкти господарювання </w:t>
            </w:r>
            <w:r w:rsidRPr="00ED1F80">
              <w:rPr>
                <w:rStyle w:val="2"/>
                <w:lang w:val="uk-UA"/>
              </w:rPr>
              <w:t>– платники податку у 202</w:t>
            </w:r>
            <w:r w:rsidR="00AB78C7" w:rsidRPr="00ED1F80">
              <w:rPr>
                <w:rStyle w:val="2"/>
                <w:lang w:val="uk-UA"/>
              </w:rPr>
              <w:t>3</w:t>
            </w:r>
            <w:r w:rsidRPr="00ED1F80">
              <w:rPr>
                <w:rStyle w:val="2"/>
                <w:lang w:val="uk-UA"/>
              </w:rPr>
              <w:t xml:space="preserve"> році будуть сплачувати податок </w:t>
            </w:r>
            <w:r w:rsidR="000A6101" w:rsidRPr="00ED1F80">
              <w:rPr>
                <w:rStyle w:val="2"/>
                <w:lang w:val="uk-UA"/>
              </w:rPr>
              <w:t>із застосуванням ставок, які діяли до 31 грудня року, що передує бюджетному періоду, в якому планується застосовувати таких місцевих податків та зборів</w:t>
            </w:r>
            <w:r w:rsidRPr="00ED1F80">
              <w:rPr>
                <w:rStyle w:val="2"/>
                <w:lang w:val="uk-UA"/>
              </w:rPr>
              <w:t>.</w:t>
            </w:r>
          </w:p>
          <w:p w:rsidR="000A6101" w:rsidRPr="00ED1F80" w:rsidRDefault="000A6101" w:rsidP="000A6101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ED1F80">
              <w:rPr>
                <w:lang w:val="uk-UA"/>
              </w:rPr>
              <w:t xml:space="preserve">Суб'єкти господарювання </w:t>
            </w:r>
            <w:r w:rsidR="000A6101" w:rsidRPr="00ED1F80">
              <w:rPr>
                <w:rStyle w:val="2"/>
                <w:lang w:val="uk-UA"/>
              </w:rPr>
              <w:t>– платники податку у 202</w:t>
            </w:r>
            <w:r w:rsidR="00AB78C7" w:rsidRPr="00ED1F80">
              <w:rPr>
                <w:rStyle w:val="2"/>
                <w:lang w:val="uk-UA"/>
              </w:rPr>
              <w:t>3</w:t>
            </w:r>
            <w:r w:rsidRPr="00ED1F80">
              <w:rPr>
                <w:rStyle w:val="2"/>
                <w:lang w:val="uk-UA"/>
              </w:rPr>
              <w:t xml:space="preserve"> році будуть сплачувати податок </w:t>
            </w:r>
            <w:r w:rsidR="000A6101" w:rsidRPr="00ED1F80">
              <w:rPr>
                <w:rStyle w:val="2"/>
                <w:lang w:val="uk-UA"/>
              </w:rPr>
              <w:t>із застосуванням ставок, які діяли до 31 грудня року, що передує бюджетному періоду</w:t>
            </w:r>
            <w:r w:rsidRPr="00ED1F80">
              <w:rPr>
                <w:rStyle w:val="2"/>
                <w:lang w:val="uk-UA"/>
              </w:rPr>
              <w:t>.</w:t>
            </w:r>
          </w:p>
          <w:p w:rsidR="00C9159F" w:rsidRPr="00ED1F80" w:rsidRDefault="00C9159F" w:rsidP="008153EA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ED1F80">
              <w:rPr>
                <w:lang w:val="uk-UA"/>
              </w:rPr>
              <w:t xml:space="preserve">Витрати на сплату податку </w:t>
            </w:r>
            <w:proofErr w:type="spellStart"/>
            <w:r w:rsidRPr="00ED1F80">
              <w:rPr>
                <w:lang w:val="uk-UA"/>
              </w:rPr>
              <w:t>зменшаться</w:t>
            </w:r>
            <w:proofErr w:type="spellEnd"/>
            <w:r w:rsidRPr="00ED1F80">
              <w:rPr>
                <w:lang w:val="uk-UA"/>
              </w:rPr>
              <w:t>, при цьому конкурентоспроможність не зміниться.</w:t>
            </w:r>
          </w:p>
        </w:tc>
      </w:tr>
      <w:tr w:rsidR="00C9159F" w:rsidRPr="00ED1F80" w:rsidTr="008153EA">
        <w:trPr>
          <w:tblCellSpacing w:w="22" w:type="dxa"/>
        </w:trPr>
        <w:tc>
          <w:tcPr>
            <w:tcW w:w="1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AB78C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ED1F80">
              <w:rPr>
                <w:rStyle w:val="2"/>
                <w:lang w:val="uk-UA"/>
              </w:rPr>
              <w:lastRenderedPageBreak/>
              <w:t xml:space="preserve">Прийняття регуляторного </w:t>
            </w:r>
            <w:proofErr w:type="spellStart"/>
            <w:r w:rsidRPr="00ED1F80">
              <w:rPr>
                <w:rStyle w:val="2"/>
                <w:lang w:val="uk-UA"/>
              </w:rPr>
              <w:t>акта</w:t>
            </w:r>
            <w:proofErr w:type="spellEnd"/>
            <w:r w:rsidRPr="00ED1F80">
              <w:rPr>
                <w:rStyle w:val="2"/>
                <w:lang w:val="uk-UA"/>
              </w:rPr>
              <w:t xml:space="preserve"> відповідно до Податкового </w:t>
            </w:r>
            <w:r w:rsidR="000A6101" w:rsidRPr="00ED1F80">
              <w:rPr>
                <w:rStyle w:val="2"/>
                <w:lang w:val="uk-UA"/>
              </w:rPr>
              <w:t>кодексу України з діючими у 202</w:t>
            </w:r>
            <w:r w:rsidR="00AB78C7" w:rsidRPr="00ED1F80">
              <w:rPr>
                <w:rStyle w:val="2"/>
                <w:lang w:val="uk-UA"/>
              </w:rPr>
              <w:t>3</w:t>
            </w:r>
            <w:r w:rsidRPr="00ED1F80">
              <w:rPr>
                <w:rStyle w:val="2"/>
                <w:lang w:val="uk-UA"/>
              </w:rPr>
              <w:t xml:space="preserve"> році максимальними ставками для платників єдиного податку І-ІІ груп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ED1F80">
              <w:rPr>
                <w:lang w:val="uk-UA"/>
              </w:rPr>
              <w:t>Відсутні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ED1F80">
              <w:rPr>
                <w:lang w:val="uk-UA"/>
              </w:rPr>
              <w:t>Суб'єкти господарювання будуть сплачувати податок за ставками згідно рішення Рахівської міської ради.</w:t>
            </w:r>
          </w:p>
        </w:tc>
      </w:tr>
    </w:tbl>
    <w:p w:rsidR="00C9159F" w:rsidRPr="00ED1F80" w:rsidRDefault="00C9159F" w:rsidP="00C9159F">
      <w:pPr>
        <w:pStyle w:val="a3"/>
        <w:spacing w:before="120" w:beforeAutospacing="0" w:after="0" w:afterAutospacing="0"/>
        <w:jc w:val="both"/>
        <w:rPr>
          <w:lang w:val="uk-UA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419"/>
        <w:gridCol w:w="2920"/>
      </w:tblGrid>
      <w:tr w:rsidR="00ED1F80" w:rsidRPr="00ED1F80" w:rsidTr="008153EA">
        <w:trPr>
          <w:tblCellSpacing w:w="22" w:type="dxa"/>
        </w:trPr>
        <w:tc>
          <w:tcPr>
            <w:tcW w:w="3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lang w:val="uk-UA"/>
              </w:rPr>
              <w:t>Сумарні витрати за альтернативами</w:t>
            </w:r>
          </w:p>
        </w:tc>
        <w:tc>
          <w:tcPr>
            <w:tcW w:w="1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lang w:val="uk-UA"/>
              </w:rPr>
              <w:t>Сума витрат, гривень</w:t>
            </w:r>
          </w:p>
        </w:tc>
      </w:tr>
      <w:tr w:rsidR="00ED1F80" w:rsidRPr="00ED1F80" w:rsidTr="008153EA">
        <w:trPr>
          <w:tblCellSpacing w:w="22" w:type="dxa"/>
        </w:trPr>
        <w:tc>
          <w:tcPr>
            <w:tcW w:w="3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both"/>
              <w:rPr>
                <w:lang w:val="uk-UA"/>
              </w:rPr>
            </w:pPr>
            <w:r w:rsidRPr="00ED1F80">
              <w:rPr>
                <w:lang w:val="uk-UA"/>
              </w:rPr>
              <w:t>Альтернатива 1</w:t>
            </w:r>
            <w:r w:rsidR="000A6101" w:rsidRPr="00ED1F80">
              <w:rPr>
                <w:rStyle w:val="2"/>
                <w:lang w:val="uk-UA"/>
              </w:rPr>
              <w:t xml:space="preserve"> „</w:t>
            </w:r>
            <w:r w:rsidRPr="00ED1F80">
              <w:rPr>
                <w:rStyle w:val="2"/>
                <w:lang w:val="uk-UA"/>
              </w:rPr>
              <w:t xml:space="preserve">Не прийняття регуляторного </w:t>
            </w:r>
            <w:proofErr w:type="spellStart"/>
            <w:r w:rsidRPr="00ED1F80">
              <w:rPr>
                <w:rStyle w:val="2"/>
                <w:lang w:val="uk-UA"/>
              </w:rPr>
              <w:t>акта</w:t>
            </w:r>
            <w:proofErr w:type="spellEnd"/>
            <w:r w:rsidRPr="00ED1F80">
              <w:rPr>
                <w:rStyle w:val="2"/>
                <w:lang w:val="uk-UA"/>
              </w:rPr>
              <w:t xml:space="preserve"> (залишення існуючої на даний момент ситуації без змін)</w:t>
            </w:r>
            <w:r w:rsidR="000A6101" w:rsidRPr="00ED1F80">
              <w:rPr>
                <w:rStyle w:val="2"/>
                <w:lang w:val="uk-UA"/>
              </w:rPr>
              <w:t>”</w:t>
            </w:r>
          </w:p>
          <w:p w:rsidR="00C9159F" w:rsidRPr="00ED1F80" w:rsidRDefault="00C9159F" w:rsidP="000A6101">
            <w:pPr>
              <w:pStyle w:val="a3"/>
              <w:jc w:val="both"/>
              <w:rPr>
                <w:lang w:val="uk-UA"/>
              </w:rPr>
            </w:pPr>
            <w:r w:rsidRPr="00ED1F80">
              <w:rPr>
                <w:lang w:val="uk-UA"/>
              </w:rPr>
              <w:t xml:space="preserve">Сумарні витрати для суб'єктів господарювання великого і середнього підприємництва згідно з додатком 2 до Методики проведення аналізу впливу регуляторного </w:t>
            </w:r>
            <w:proofErr w:type="spellStart"/>
            <w:r w:rsidRPr="00ED1F80">
              <w:rPr>
                <w:lang w:val="uk-UA"/>
              </w:rPr>
              <w:t>акта</w:t>
            </w:r>
            <w:proofErr w:type="spellEnd"/>
            <w:r w:rsidRPr="00ED1F80">
              <w:rPr>
                <w:lang w:val="uk-UA"/>
              </w:rPr>
              <w:t xml:space="preserve"> (рядок 11 таблиці </w:t>
            </w:r>
            <w:r w:rsidR="000A6101" w:rsidRPr="00ED1F80">
              <w:rPr>
                <w:lang w:val="uk-UA"/>
              </w:rPr>
              <w:t>„</w:t>
            </w:r>
            <w:r w:rsidRPr="00ED1F80">
              <w:rPr>
                <w:lang w:val="uk-UA"/>
              </w:rPr>
              <w:t xml:space="preserve">Витрати на одного суб'єкта господарювання великого і середнього підприємництва, які виникають внаслідок дії регуляторного </w:t>
            </w:r>
            <w:proofErr w:type="spellStart"/>
            <w:r w:rsidRPr="00ED1F80">
              <w:rPr>
                <w:lang w:val="uk-UA"/>
              </w:rPr>
              <w:t>акта</w:t>
            </w:r>
            <w:proofErr w:type="spellEnd"/>
            <w:r w:rsidR="000A6101" w:rsidRPr="00ED1F80">
              <w:rPr>
                <w:lang w:val="uk-UA"/>
              </w:rPr>
              <w:t>”</w:t>
            </w:r>
            <w:r w:rsidRPr="00ED1F80">
              <w:rPr>
                <w:lang w:val="uk-UA"/>
              </w:rPr>
              <w:t>)</w:t>
            </w:r>
          </w:p>
        </w:tc>
        <w:tc>
          <w:tcPr>
            <w:tcW w:w="1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lang w:val="uk-UA"/>
              </w:rPr>
              <w:t>-</w:t>
            </w:r>
          </w:p>
        </w:tc>
      </w:tr>
      <w:tr w:rsidR="00C9159F" w:rsidRPr="00ED1F80" w:rsidTr="008153EA">
        <w:trPr>
          <w:tblCellSpacing w:w="22" w:type="dxa"/>
        </w:trPr>
        <w:tc>
          <w:tcPr>
            <w:tcW w:w="3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both"/>
              <w:rPr>
                <w:rStyle w:val="2"/>
                <w:lang w:val="uk-UA"/>
              </w:rPr>
            </w:pPr>
            <w:r w:rsidRPr="00ED1F80">
              <w:rPr>
                <w:lang w:val="uk-UA"/>
              </w:rPr>
              <w:t>Альтернатива 2</w:t>
            </w:r>
            <w:r w:rsidRPr="00ED1F80">
              <w:rPr>
                <w:rStyle w:val="2"/>
                <w:lang w:val="uk-UA"/>
              </w:rPr>
              <w:t xml:space="preserve"> </w:t>
            </w:r>
            <w:r w:rsidR="000A6101" w:rsidRPr="00ED1F80">
              <w:rPr>
                <w:rStyle w:val="2"/>
                <w:lang w:val="uk-UA"/>
              </w:rPr>
              <w:t>„</w:t>
            </w:r>
            <w:r w:rsidRPr="00ED1F80">
              <w:rPr>
                <w:rStyle w:val="2"/>
                <w:lang w:val="uk-UA"/>
              </w:rPr>
              <w:t xml:space="preserve">Прийняття регуляторного </w:t>
            </w:r>
            <w:proofErr w:type="spellStart"/>
            <w:r w:rsidRPr="00ED1F80">
              <w:rPr>
                <w:rStyle w:val="2"/>
                <w:lang w:val="uk-UA"/>
              </w:rPr>
              <w:t>акта</w:t>
            </w:r>
            <w:proofErr w:type="spellEnd"/>
            <w:r w:rsidRPr="00ED1F80">
              <w:rPr>
                <w:rStyle w:val="2"/>
                <w:lang w:val="uk-UA"/>
              </w:rPr>
              <w:t xml:space="preserve"> відповідно до Податкового кодексу України з діючими у 20</w:t>
            </w:r>
            <w:r w:rsidR="00A422BF" w:rsidRPr="00ED1F80">
              <w:rPr>
                <w:rStyle w:val="2"/>
                <w:lang w:val="uk-UA"/>
              </w:rPr>
              <w:t>2</w:t>
            </w:r>
            <w:r w:rsidR="00AB78C7" w:rsidRPr="00ED1F80">
              <w:rPr>
                <w:rStyle w:val="2"/>
                <w:lang w:val="uk-UA"/>
              </w:rPr>
              <w:t>3</w:t>
            </w:r>
            <w:r w:rsidRPr="00ED1F80">
              <w:rPr>
                <w:rStyle w:val="2"/>
                <w:lang w:val="uk-UA"/>
              </w:rPr>
              <w:t xml:space="preserve"> році максимальними ставками для платників єдиного податку І-ІІ груп</w:t>
            </w:r>
            <w:r w:rsidR="00A422BF" w:rsidRPr="00ED1F80">
              <w:rPr>
                <w:rStyle w:val="2"/>
                <w:lang w:val="uk-UA"/>
              </w:rPr>
              <w:t>”</w:t>
            </w:r>
          </w:p>
          <w:p w:rsidR="00C9159F" w:rsidRPr="00ED1F80" w:rsidRDefault="00C9159F" w:rsidP="00A422BF">
            <w:pPr>
              <w:pStyle w:val="a3"/>
              <w:jc w:val="both"/>
              <w:rPr>
                <w:lang w:val="uk-UA"/>
              </w:rPr>
            </w:pPr>
            <w:r w:rsidRPr="00ED1F80">
              <w:rPr>
                <w:lang w:val="uk-UA"/>
              </w:rPr>
              <w:t xml:space="preserve">Сумарні витрати для суб'єктів господарювання великого і середнього підприємництва згідно з додатком 2 до Методики проведення аналізу впливу регуляторного </w:t>
            </w:r>
            <w:proofErr w:type="spellStart"/>
            <w:r w:rsidRPr="00ED1F80">
              <w:rPr>
                <w:lang w:val="uk-UA"/>
              </w:rPr>
              <w:t>акта</w:t>
            </w:r>
            <w:proofErr w:type="spellEnd"/>
            <w:r w:rsidRPr="00ED1F80">
              <w:rPr>
                <w:lang w:val="uk-UA"/>
              </w:rPr>
              <w:t xml:space="preserve"> (рядок 11 таблиці </w:t>
            </w:r>
            <w:r w:rsidR="00A422BF" w:rsidRPr="00ED1F80">
              <w:rPr>
                <w:lang w:val="uk-UA"/>
              </w:rPr>
              <w:t>„</w:t>
            </w:r>
            <w:r w:rsidRPr="00ED1F80">
              <w:rPr>
                <w:lang w:val="uk-UA"/>
              </w:rPr>
              <w:t xml:space="preserve">Витрати на одного суб'єкта господарювання великого і середнього підприємництва, які виникають внаслідок дії регуляторного </w:t>
            </w:r>
            <w:proofErr w:type="spellStart"/>
            <w:r w:rsidRPr="00ED1F80">
              <w:rPr>
                <w:lang w:val="uk-UA"/>
              </w:rPr>
              <w:t>акта</w:t>
            </w:r>
            <w:proofErr w:type="spellEnd"/>
            <w:r w:rsidR="00A422BF" w:rsidRPr="00ED1F80">
              <w:rPr>
                <w:lang w:val="uk-UA"/>
              </w:rPr>
              <w:t>”</w:t>
            </w:r>
            <w:r w:rsidRPr="00ED1F80">
              <w:rPr>
                <w:lang w:val="uk-UA"/>
              </w:rPr>
              <w:t>)</w:t>
            </w:r>
          </w:p>
        </w:tc>
        <w:tc>
          <w:tcPr>
            <w:tcW w:w="1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lang w:val="uk-UA"/>
              </w:rPr>
              <w:t>-</w:t>
            </w:r>
          </w:p>
        </w:tc>
      </w:tr>
    </w:tbl>
    <w:p w:rsidR="00667251" w:rsidRPr="00ED1F80" w:rsidRDefault="00667251" w:rsidP="00C9159F">
      <w:pPr>
        <w:pStyle w:val="3"/>
        <w:spacing w:before="120" w:beforeAutospacing="0" w:after="0" w:afterAutospacing="0"/>
        <w:jc w:val="center"/>
        <w:rPr>
          <w:lang w:val="uk-UA"/>
        </w:rPr>
      </w:pPr>
    </w:p>
    <w:p w:rsidR="00667251" w:rsidRPr="00ED1F80" w:rsidRDefault="00667251" w:rsidP="00C9159F">
      <w:pPr>
        <w:pStyle w:val="3"/>
        <w:spacing w:before="120" w:beforeAutospacing="0" w:after="0" w:afterAutospacing="0"/>
        <w:jc w:val="center"/>
        <w:rPr>
          <w:lang w:val="uk-UA"/>
        </w:rPr>
      </w:pPr>
    </w:p>
    <w:p w:rsidR="00C9159F" w:rsidRPr="00ED1F80" w:rsidRDefault="00C9159F" w:rsidP="00C9159F">
      <w:pPr>
        <w:pStyle w:val="3"/>
        <w:spacing w:before="120" w:beforeAutospacing="0" w:after="0" w:afterAutospacing="0"/>
        <w:jc w:val="center"/>
        <w:rPr>
          <w:lang w:val="uk-UA"/>
        </w:rPr>
      </w:pPr>
      <w:r w:rsidRPr="00ED1F80">
        <w:rPr>
          <w:lang w:val="uk-UA"/>
        </w:rPr>
        <w:t>IV. Вибір найбільш оптимального альтернативного способу досягнення цілей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8"/>
        <w:gridCol w:w="2976"/>
        <w:gridCol w:w="2815"/>
      </w:tblGrid>
      <w:tr w:rsidR="00ED1F80" w:rsidRPr="00ED1F80" w:rsidTr="00667251">
        <w:trPr>
          <w:tblCellSpacing w:w="22" w:type="dxa"/>
        </w:trPr>
        <w:tc>
          <w:tcPr>
            <w:tcW w:w="1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lang w:val="uk-UA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lang w:val="uk-UA"/>
              </w:rPr>
              <w:t>Бал результативності (за чотирибальною системою оцінки)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lang w:val="uk-UA"/>
              </w:rPr>
              <w:t xml:space="preserve">Коментарі щодо присвоєння відповідного </w:t>
            </w:r>
            <w:proofErr w:type="spellStart"/>
            <w:r w:rsidRPr="00ED1F80">
              <w:rPr>
                <w:lang w:val="uk-UA"/>
              </w:rPr>
              <w:t>бала</w:t>
            </w:r>
            <w:proofErr w:type="spellEnd"/>
          </w:p>
        </w:tc>
      </w:tr>
      <w:tr w:rsidR="00C9159F" w:rsidRPr="00ED1F80" w:rsidTr="00667251">
        <w:trPr>
          <w:tblCellSpacing w:w="22" w:type="dxa"/>
        </w:trPr>
        <w:tc>
          <w:tcPr>
            <w:tcW w:w="186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rStyle w:val="2"/>
                <w:lang w:val="uk-UA"/>
              </w:rPr>
              <w:t xml:space="preserve">Не прийняття регуляторного </w:t>
            </w:r>
            <w:proofErr w:type="spellStart"/>
            <w:r w:rsidRPr="00ED1F80">
              <w:rPr>
                <w:rStyle w:val="2"/>
                <w:lang w:val="uk-UA"/>
              </w:rPr>
              <w:t>акта</w:t>
            </w:r>
            <w:proofErr w:type="spellEnd"/>
            <w:r w:rsidRPr="00ED1F80">
              <w:rPr>
                <w:rStyle w:val="2"/>
                <w:lang w:val="uk-UA"/>
              </w:rPr>
              <w:t xml:space="preserve"> (залишення існуючої на даний момент ситуації без змін)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A422BF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lang w:val="uk-UA"/>
              </w:rPr>
              <w:t>1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9159F" w:rsidRPr="00ED1F80" w:rsidRDefault="00C9159F" w:rsidP="00AB78C7">
            <w:pPr>
              <w:pStyle w:val="a3"/>
              <w:jc w:val="both"/>
              <w:rPr>
                <w:lang w:val="uk-UA"/>
              </w:rPr>
            </w:pPr>
            <w:r w:rsidRPr="00ED1F80">
              <w:rPr>
                <w:lang w:val="uk-UA"/>
              </w:rPr>
              <w:t>Рішення про встановлення єдиного податку на 20</w:t>
            </w:r>
            <w:r w:rsidR="00A422BF" w:rsidRPr="00ED1F80">
              <w:rPr>
                <w:lang w:val="uk-UA"/>
              </w:rPr>
              <w:t>2</w:t>
            </w:r>
            <w:r w:rsidR="00AB78C7" w:rsidRPr="00ED1F80">
              <w:rPr>
                <w:lang w:val="uk-UA"/>
              </w:rPr>
              <w:t>2</w:t>
            </w:r>
            <w:r w:rsidR="00A422BF" w:rsidRPr="00ED1F80">
              <w:rPr>
                <w:lang w:val="uk-UA"/>
              </w:rPr>
              <w:t xml:space="preserve"> рік</w:t>
            </w:r>
            <w:r w:rsidRPr="00ED1F80">
              <w:rPr>
                <w:lang w:val="uk-UA"/>
              </w:rPr>
              <w:t xml:space="preserve"> буде діяти у 202</w:t>
            </w:r>
            <w:r w:rsidR="00AB78C7" w:rsidRPr="00ED1F80">
              <w:rPr>
                <w:lang w:val="uk-UA"/>
              </w:rPr>
              <w:t>3</w:t>
            </w:r>
            <w:r w:rsidRPr="00ED1F80">
              <w:rPr>
                <w:lang w:val="uk-UA"/>
              </w:rPr>
              <w:t xml:space="preserve"> році, що значно зменшить надходження до міського бюджету. Проблема сплати податку в мінімально</w:t>
            </w:r>
            <w:r w:rsidR="00A422BF" w:rsidRPr="00ED1F80">
              <w:rPr>
                <w:lang w:val="uk-UA"/>
              </w:rPr>
              <w:t>му розмірі буде існувати до 202</w:t>
            </w:r>
            <w:r w:rsidR="00AB78C7" w:rsidRPr="00ED1F80">
              <w:rPr>
                <w:lang w:val="uk-UA"/>
              </w:rPr>
              <w:t>3</w:t>
            </w:r>
            <w:r w:rsidRPr="00ED1F80">
              <w:rPr>
                <w:lang w:val="uk-UA"/>
              </w:rPr>
              <w:t xml:space="preserve"> року.</w:t>
            </w:r>
          </w:p>
        </w:tc>
      </w:tr>
    </w:tbl>
    <w:p w:rsidR="00667251" w:rsidRPr="00ED1F80" w:rsidRDefault="00667251"/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8"/>
        <w:gridCol w:w="2976"/>
        <w:gridCol w:w="2815"/>
      </w:tblGrid>
      <w:tr w:rsidR="00C9159F" w:rsidRPr="00ED1F80" w:rsidTr="00667251">
        <w:trPr>
          <w:tblCellSpacing w:w="22" w:type="dxa"/>
        </w:trPr>
        <w:tc>
          <w:tcPr>
            <w:tcW w:w="1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AB78C7">
            <w:pPr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 w:rsidRPr="00ED1F80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Прийняття регуляторного </w:t>
            </w:r>
            <w:proofErr w:type="spellStart"/>
            <w:r w:rsidRPr="00ED1F80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акта</w:t>
            </w:r>
            <w:proofErr w:type="spellEnd"/>
            <w:r w:rsidRPr="00ED1F80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 відповідно до Податкового </w:t>
            </w:r>
            <w:r w:rsidR="00A422BF" w:rsidRPr="00ED1F80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кодексу України з діючими у 202</w:t>
            </w:r>
            <w:r w:rsidR="00AB78C7" w:rsidRPr="00ED1F80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ED1F80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 році максимальними ставками для платників єдиного податку І-ІІ груп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lang w:val="uk-UA"/>
              </w:rPr>
              <w:t>4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both"/>
              <w:rPr>
                <w:lang w:val="uk-UA"/>
              </w:rPr>
            </w:pPr>
            <w:r w:rsidRPr="00ED1F80">
              <w:rPr>
                <w:lang w:val="uk-UA"/>
              </w:rPr>
              <w:t> </w:t>
            </w:r>
            <w:r w:rsidRPr="00ED1F80">
              <w:rPr>
                <w:rStyle w:val="2"/>
                <w:lang w:val="uk-UA"/>
              </w:rPr>
              <w:t xml:space="preserve">Цей регуляторний акт відповідає потребам у розв’язанні визначеної проблеми та принципам державної регуляторної політики. Затвердження такого регуляторного </w:t>
            </w:r>
            <w:proofErr w:type="spellStart"/>
            <w:r w:rsidRPr="00ED1F80">
              <w:rPr>
                <w:rStyle w:val="2"/>
                <w:lang w:val="uk-UA"/>
              </w:rPr>
              <w:t>акта</w:t>
            </w:r>
            <w:proofErr w:type="spellEnd"/>
            <w:r w:rsidRPr="00ED1F80">
              <w:rPr>
                <w:rStyle w:val="2"/>
                <w:lang w:val="uk-UA"/>
              </w:rPr>
              <w:t xml:space="preserve"> забезпечить поступове досягнення встановлених цілей.</w:t>
            </w:r>
          </w:p>
        </w:tc>
      </w:tr>
    </w:tbl>
    <w:p w:rsidR="00C9159F" w:rsidRPr="00ED1F80" w:rsidRDefault="00C9159F" w:rsidP="00C9159F">
      <w:pPr>
        <w:pStyle w:val="a3"/>
        <w:spacing w:before="0" w:beforeAutospacing="0" w:after="0" w:afterAutospacing="0"/>
        <w:jc w:val="both"/>
        <w:rPr>
          <w:lang w:val="uk-UA"/>
        </w:rPr>
      </w:pPr>
    </w:p>
    <w:p w:rsidR="00C9159F" w:rsidRPr="00ED1F80" w:rsidRDefault="00C9159F" w:rsidP="00C9159F">
      <w:pPr>
        <w:pStyle w:val="a3"/>
        <w:spacing w:before="0" w:beforeAutospacing="0" w:after="0" w:afterAutospacing="0"/>
        <w:jc w:val="both"/>
        <w:rPr>
          <w:lang w:val="uk-UA"/>
        </w:rPr>
      </w:pPr>
    </w:p>
    <w:p w:rsidR="00C9159F" w:rsidRPr="00ED1F80" w:rsidRDefault="00C9159F" w:rsidP="00C9159F">
      <w:pPr>
        <w:pStyle w:val="a3"/>
        <w:spacing w:before="0" w:beforeAutospacing="0" w:after="0" w:afterAutospacing="0"/>
        <w:jc w:val="both"/>
        <w:rPr>
          <w:lang w:val="uk-UA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912"/>
        <w:gridCol w:w="2671"/>
        <w:gridCol w:w="1820"/>
        <w:gridCol w:w="2936"/>
      </w:tblGrid>
      <w:tr w:rsidR="00ED1F80" w:rsidRPr="00ED1F80" w:rsidTr="008153EA">
        <w:trPr>
          <w:tblCellSpacing w:w="22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lang w:val="uk-UA"/>
              </w:rPr>
              <w:t>Рейтинг результативності</w:t>
            </w:r>
          </w:p>
        </w:tc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lang w:val="uk-UA"/>
              </w:rPr>
              <w:t>Вигоди (підсумок)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lang w:val="uk-UA"/>
              </w:rPr>
              <w:t>Витрати (підсумок)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lang w:val="uk-UA"/>
              </w:rPr>
              <w:t>Обґрунтування відповідного місця альтернативи у рейтингу</w:t>
            </w:r>
          </w:p>
        </w:tc>
      </w:tr>
      <w:tr w:rsidR="00ED1F80" w:rsidRPr="00ED1F80" w:rsidTr="008153EA">
        <w:trPr>
          <w:tblCellSpacing w:w="22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AB78C7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rStyle w:val="2"/>
                <w:lang w:val="uk-UA"/>
              </w:rPr>
              <w:t xml:space="preserve">Прийняття регуляторного </w:t>
            </w:r>
            <w:proofErr w:type="spellStart"/>
            <w:r w:rsidRPr="00ED1F80">
              <w:rPr>
                <w:rStyle w:val="2"/>
                <w:lang w:val="uk-UA"/>
              </w:rPr>
              <w:t>акта</w:t>
            </w:r>
            <w:proofErr w:type="spellEnd"/>
            <w:r w:rsidRPr="00ED1F80">
              <w:rPr>
                <w:rStyle w:val="2"/>
                <w:lang w:val="uk-UA"/>
              </w:rPr>
              <w:t xml:space="preserve"> відповідно до Податкового кодексу України з діючими у 202</w:t>
            </w:r>
            <w:r w:rsidR="00AB78C7" w:rsidRPr="00ED1F80">
              <w:rPr>
                <w:rStyle w:val="2"/>
                <w:lang w:val="uk-UA"/>
              </w:rPr>
              <w:t>3</w:t>
            </w:r>
            <w:r w:rsidRPr="00ED1F80">
              <w:rPr>
                <w:rStyle w:val="2"/>
                <w:lang w:val="uk-UA"/>
              </w:rPr>
              <w:t xml:space="preserve"> році максимальними ставками для платників єдиного податку І-ІІ груп</w:t>
            </w:r>
          </w:p>
        </w:tc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spacing w:after="0" w:line="240" w:lineRule="auto"/>
              <w:jc w:val="both"/>
              <w:rPr>
                <w:rStyle w:val="2"/>
                <w:rFonts w:ascii="Times New Roman" w:hAnsi="Times New Roman"/>
                <w:lang w:val="uk-UA"/>
              </w:rPr>
            </w:pPr>
            <w:r w:rsidRPr="00ED1F80">
              <w:rPr>
                <w:rFonts w:ascii="Times New Roman" w:hAnsi="Times New Roman"/>
                <w:lang w:val="uk-UA"/>
              </w:rPr>
              <w:t xml:space="preserve">Належне фінансування програм соціально-економічного розвитку </w:t>
            </w:r>
            <w:r w:rsidRPr="00ED1F80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територіальної громади.</w:t>
            </w:r>
          </w:p>
          <w:p w:rsidR="00C9159F" w:rsidRPr="00ED1F80" w:rsidRDefault="00C9159F" w:rsidP="008153EA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both"/>
              <w:rPr>
                <w:sz w:val="22"/>
                <w:szCs w:val="22"/>
                <w:lang w:val="uk-UA"/>
              </w:rPr>
            </w:pPr>
            <w:r w:rsidRPr="00ED1F80">
              <w:rPr>
                <w:sz w:val="22"/>
                <w:szCs w:val="22"/>
                <w:lang w:val="uk-UA"/>
              </w:rPr>
              <w:t>Суб'єкти господарювання І-ІІ груп будуть сплачувати податок за максимальними ставками згідно рішення Рахівської  міської ради без погіршення умов для розвитку мікробізнесу.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both"/>
              <w:rPr>
                <w:sz w:val="22"/>
                <w:szCs w:val="22"/>
                <w:lang w:val="uk-UA"/>
              </w:rPr>
            </w:pPr>
            <w:r w:rsidRPr="00ED1F80">
              <w:rPr>
                <w:rStyle w:val="2"/>
                <w:sz w:val="22"/>
                <w:szCs w:val="22"/>
                <w:lang w:val="uk-UA"/>
              </w:rPr>
              <w:t xml:space="preserve">Цей регуляторний акт відповідає потребам у розв’язанні визначеної проблеми та принципам державної регуляторної політики. Затвердження такого регуляторного </w:t>
            </w:r>
            <w:proofErr w:type="spellStart"/>
            <w:r w:rsidRPr="00ED1F80">
              <w:rPr>
                <w:rStyle w:val="2"/>
                <w:sz w:val="22"/>
                <w:szCs w:val="22"/>
                <w:lang w:val="uk-UA"/>
              </w:rPr>
              <w:t>акта</w:t>
            </w:r>
            <w:proofErr w:type="spellEnd"/>
            <w:r w:rsidRPr="00ED1F80">
              <w:rPr>
                <w:rStyle w:val="2"/>
                <w:sz w:val="22"/>
                <w:szCs w:val="22"/>
                <w:lang w:val="uk-UA"/>
              </w:rPr>
              <w:t xml:space="preserve"> забезпечить поступове досягнення встановлених цілей.</w:t>
            </w:r>
          </w:p>
        </w:tc>
      </w:tr>
      <w:tr w:rsidR="00C9159F" w:rsidRPr="00ED1F80" w:rsidTr="008153EA">
        <w:trPr>
          <w:tblCellSpacing w:w="22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rStyle w:val="2"/>
                <w:lang w:val="uk-UA"/>
              </w:rPr>
              <w:t xml:space="preserve">Не прийняття регуляторного </w:t>
            </w:r>
            <w:proofErr w:type="spellStart"/>
            <w:r w:rsidRPr="00ED1F80">
              <w:rPr>
                <w:rStyle w:val="2"/>
                <w:lang w:val="uk-UA"/>
              </w:rPr>
              <w:t>акта</w:t>
            </w:r>
            <w:proofErr w:type="spellEnd"/>
            <w:r w:rsidRPr="00ED1F80">
              <w:rPr>
                <w:rStyle w:val="2"/>
                <w:lang w:val="uk-UA"/>
              </w:rPr>
              <w:t xml:space="preserve"> (залишення існуючої на даний момент ситуації без змін)</w:t>
            </w:r>
          </w:p>
        </w:tc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A422BF" w:rsidP="008153E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ED1F80">
              <w:rPr>
                <w:sz w:val="22"/>
                <w:szCs w:val="22"/>
                <w:lang w:val="uk-UA"/>
              </w:rPr>
              <w:t>Відсутні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9159F" w:rsidRPr="00ED1F80" w:rsidRDefault="00C9159F" w:rsidP="00AB78C7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ED1F80">
              <w:rPr>
                <w:sz w:val="22"/>
                <w:szCs w:val="22"/>
                <w:lang w:val="uk-UA"/>
              </w:rPr>
              <w:t xml:space="preserve">Суб'єкти господарювання </w:t>
            </w:r>
            <w:r w:rsidRPr="00ED1F80">
              <w:rPr>
                <w:rStyle w:val="2"/>
                <w:sz w:val="22"/>
                <w:szCs w:val="22"/>
                <w:lang w:val="uk-UA"/>
              </w:rPr>
              <w:t xml:space="preserve">– платники податку у </w:t>
            </w:r>
            <w:r w:rsidR="00A422BF" w:rsidRPr="00ED1F80">
              <w:rPr>
                <w:rStyle w:val="2"/>
                <w:sz w:val="22"/>
                <w:szCs w:val="22"/>
                <w:lang w:val="uk-UA"/>
              </w:rPr>
              <w:t>202</w:t>
            </w:r>
            <w:r w:rsidR="00AB78C7" w:rsidRPr="00ED1F80">
              <w:rPr>
                <w:rStyle w:val="2"/>
                <w:sz w:val="22"/>
                <w:szCs w:val="22"/>
                <w:lang w:val="uk-UA"/>
              </w:rPr>
              <w:t>3</w:t>
            </w:r>
            <w:r w:rsidRPr="00ED1F80">
              <w:rPr>
                <w:rStyle w:val="2"/>
                <w:sz w:val="22"/>
                <w:szCs w:val="22"/>
                <w:lang w:val="uk-UA"/>
              </w:rPr>
              <w:t xml:space="preserve"> році будуть сплачувати податок за мінімальними ставками, що суттєво з</w:t>
            </w:r>
            <w:r w:rsidRPr="00ED1F80">
              <w:rPr>
                <w:sz w:val="22"/>
                <w:szCs w:val="22"/>
                <w:lang w:val="uk-UA"/>
              </w:rPr>
              <w:t>меншить надходжень у місцевий бюджет.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9159F" w:rsidRPr="00ED1F80" w:rsidRDefault="00A422BF" w:rsidP="00A422BF">
            <w:pPr>
              <w:pStyle w:val="a3"/>
              <w:jc w:val="both"/>
              <w:rPr>
                <w:sz w:val="22"/>
                <w:szCs w:val="22"/>
                <w:lang w:val="uk-UA"/>
              </w:rPr>
            </w:pPr>
            <w:r w:rsidRPr="00ED1F80">
              <w:rPr>
                <w:sz w:val="22"/>
                <w:szCs w:val="22"/>
                <w:lang w:val="uk-UA"/>
              </w:rPr>
              <w:t>Альтернатива є неприйнятною</w:t>
            </w:r>
            <w:r w:rsidR="00C9159F" w:rsidRPr="00ED1F80">
              <w:rPr>
                <w:sz w:val="22"/>
                <w:szCs w:val="22"/>
                <w:lang w:val="uk-UA"/>
              </w:rPr>
              <w:t>,</w:t>
            </w:r>
            <w:r w:rsidRPr="00ED1F80">
              <w:rPr>
                <w:sz w:val="22"/>
                <w:szCs w:val="22"/>
                <w:lang w:val="uk-UA"/>
              </w:rPr>
              <w:t xml:space="preserve"> на сам перед через відсутність надходжень до бюджету, що вплине на фінансування видатків бюджетної сфери та на виконання програм об’єднаної територіальної громади.</w:t>
            </w:r>
          </w:p>
        </w:tc>
      </w:tr>
    </w:tbl>
    <w:p w:rsidR="00C9159F" w:rsidRPr="00ED1F80" w:rsidRDefault="00C9159F" w:rsidP="00C9159F">
      <w:pPr>
        <w:pStyle w:val="a3"/>
        <w:spacing w:after="0" w:afterAutospacing="0"/>
        <w:jc w:val="both"/>
        <w:rPr>
          <w:lang w:val="uk-UA"/>
        </w:rPr>
      </w:pPr>
    </w:p>
    <w:p w:rsidR="00C9159F" w:rsidRPr="00ED1F80" w:rsidRDefault="00C9159F" w:rsidP="00C9159F">
      <w:pPr>
        <w:pStyle w:val="a3"/>
        <w:spacing w:after="0" w:afterAutospacing="0"/>
        <w:jc w:val="both"/>
        <w:rPr>
          <w:lang w:val="uk-UA"/>
        </w:rPr>
      </w:pPr>
    </w:p>
    <w:p w:rsidR="00C9159F" w:rsidRPr="00ED1F80" w:rsidRDefault="00C9159F" w:rsidP="00C9159F">
      <w:pPr>
        <w:pStyle w:val="a3"/>
        <w:spacing w:after="0" w:afterAutospacing="0"/>
        <w:jc w:val="both"/>
        <w:rPr>
          <w:lang w:val="uk-UA"/>
        </w:rPr>
      </w:pPr>
    </w:p>
    <w:p w:rsidR="00C9159F" w:rsidRPr="00ED1F80" w:rsidRDefault="00C9159F" w:rsidP="00C9159F">
      <w:pPr>
        <w:pStyle w:val="a3"/>
        <w:spacing w:after="0" w:afterAutospacing="0"/>
        <w:jc w:val="both"/>
        <w:rPr>
          <w:lang w:val="uk-UA"/>
        </w:rPr>
      </w:pPr>
    </w:p>
    <w:p w:rsidR="00C9159F" w:rsidRPr="00ED1F80" w:rsidRDefault="00C9159F" w:rsidP="00C9159F">
      <w:pPr>
        <w:pStyle w:val="a3"/>
        <w:spacing w:after="0" w:afterAutospacing="0"/>
        <w:jc w:val="both"/>
        <w:rPr>
          <w:lang w:val="uk-UA"/>
        </w:rPr>
      </w:pPr>
    </w:p>
    <w:p w:rsidR="00C9159F" w:rsidRPr="00ED1F80" w:rsidRDefault="00C9159F" w:rsidP="00C9159F">
      <w:pPr>
        <w:pStyle w:val="a3"/>
        <w:spacing w:after="0" w:afterAutospacing="0"/>
        <w:jc w:val="both"/>
        <w:rPr>
          <w:lang w:val="uk-UA"/>
        </w:rPr>
      </w:pPr>
    </w:p>
    <w:p w:rsidR="00C9159F" w:rsidRPr="00ED1F80" w:rsidRDefault="00C9159F" w:rsidP="00C9159F">
      <w:pPr>
        <w:pStyle w:val="a3"/>
        <w:spacing w:after="0" w:afterAutospacing="0"/>
        <w:jc w:val="both"/>
        <w:rPr>
          <w:lang w:val="uk-UA"/>
        </w:rPr>
      </w:pPr>
    </w:p>
    <w:p w:rsidR="00C9159F" w:rsidRPr="00ED1F80" w:rsidRDefault="00C9159F" w:rsidP="00C9159F">
      <w:pPr>
        <w:pStyle w:val="a3"/>
        <w:spacing w:after="0" w:afterAutospacing="0"/>
        <w:jc w:val="both"/>
        <w:rPr>
          <w:lang w:val="uk-UA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263"/>
        <w:gridCol w:w="3986"/>
        <w:gridCol w:w="3090"/>
      </w:tblGrid>
      <w:tr w:rsidR="00ED1F80" w:rsidRPr="00ED1F80" w:rsidTr="00667251">
        <w:trPr>
          <w:tblCellSpacing w:w="22" w:type="dxa"/>
        </w:trPr>
        <w:tc>
          <w:tcPr>
            <w:tcW w:w="11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spacing w:after="0" w:afterAutospacing="0"/>
              <w:jc w:val="center"/>
              <w:rPr>
                <w:lang w:val="uk-UA"/>
              </w:rPr>
            </w:pPr>
            <w:r w:rsidRPr="00ED1F80">
              <w:rPr>
                <w:lang w:val="uk-UA"/>
              </w:rPr>
              <w:t>Рейтинг</w:t>
            </w:r>
          </w:p>
        </w:tc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spacing w:after="0" w:afterAutospacing="0"/>
              <w:jc w:val="center"/>
              <w:rPr>
                <w:lang w:val="uk-UA"/>
              </w:rPr>
            </w:pPr>
            <w:r w:rsidRPr="00ED1F80">
              <w:rPr>
                <w:lang w:val="uk-UA"/>
              </w:rPr>
              <w:t>Аргументи щодо переваги обраної альтернативи / причини відмови від альтернативи</w:t>
            </w:r>
          </w:p>
        </w:tc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spacing w:after="0" w:afterAutospacing="0"/>
              <w:jc w:val="center"/>
              <w:rPr>
                <w:lang w:val="uk-UA"/>
              </w:rPr>
            </w:pPr>
            <w:r w:rsidRPr="00ED1F80">
              <w:rPr>
                <w:lang w:val="uk-UA"/>
              </w:rPr>
              <w:t xml:space="preserve">Оцінка ризику зовнішніх чинників на дію запропонованого регуляторного </w:t>
            </w:r>
            <w:proofErr w:type="spellStart"/>
            <w:r w:rsidRPr="00ED1F80">
              <w:rPr>
                <w:lang w:val="uk-UA"/>
              </w:rPr>
              <w:t>акта</w:t>
            </w:r>
            <w:proofErr w:type="spellEnd"/>
          </w:p>
        </w:tc>
      </w:tr>
      <w:tr w:rsidR="00ED1F80" w:rsidRPr="004C2631" w:rsidTr="00667251">
        <w:trPr>
          <w:trHeight w:val="4711"/>
          <w:tblCellSpacing w:w="22" w:type="dxa"/>
        </w:trPr>
        <w:tc>
          <w:tcPr>
            <w:tcW w:w="117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9159F" w:rsidRPr="00ED1F80" w:rsidRDefault="00C9159F" w:rsidP="00AB78C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ED1F80">
              <w:rPr>
                <w:rStyle w:val="2"/>
                <w:lang w:val="uk-UA"/>
              </w:rPr>
              <w:t xml:space="preserve">Прийняття регуляторного </w:t>
            </w:r>
            <w:proofErr w:type="spellStart"/>
            <w:r w:rsidRPr="00ED1F80">
              <w:rPr>
                <w:rStyle w:val="2"/>
                <w:lang w:val="uk-UA"/>
              </w:rPr>
              <w:t>акта</w:t>
            </w:r>
            <w:proofErr w:type="spellEnd"/>
            <w:r w:rsidRPr="00ED1F80">
              <w:rPr>
                <w:rStyle w:val="2"/>
                <w:lang w:val="uk-UA"/>
              </w:rPr>
              <w:t xml:space="preserve"> відповідно до Податкового к</w:t>
            </w:r>
            <w:r w:rsidR="00765D89" w:rsidRPr="00ED1F80">
              <w:rPr>
                <w:rStyle w:val="2"/>
                <w:lang w:val="uk-UA"/>
              </w:rPr>
              <w:t>одексу України з діючими у 202</w:t>
            </w:r>
            <w:r w:rsidR="00AB78C7" w:rsidRPr="00ED1F80">
              <w:rPr>
                <w:rStyle w:val="2"/>
                <w:lang w:val="uk-UA"/>
              </w:rPr>
              <w:t>3</w:t>
            </w:r>
            <w:r w:rsidR="00765D89" w:rsidRPr="00ED1F80">
              <w:rPr>
                <w:rStyle w:val="2"/>
                <w:lang w:val="uk-UA"/>
              </w:rPr>
              <w:t xml:space="preserve"> </w:t>
            </w:r>
            <w:r w:rsidRPr="00ED1F80">
              <w:rPr>
                <w:rStyle w:val="2"/>
                <w:lang w:val="uk-UA"/>
              </w:rPr>
              <w:t>році максимальними ставками для платників єдиного податку І-ІІ груп</w:t>
            </w:r>
          </w:p>
        </w:tc>
        <w:tc>
          <w:tcPr>
            <w:tcW w:w="211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both"/>
              <w:rPr>
                <w:lang w:val="uk-UA"/>
              </w:rPr>
            </w:pPr>
            <w:r w:rsidRPr="00ED1F80">
              <w:rPr>
                <w:lang w:val="uk-UA"/>
              </w:rPr>
              <w:t> </w:t>
            </w:r>
            <w:r w:rsidRPr="00ED1F80">
              <w:rPr>
                <w:rStyle w:val="2"/>
                <w:lang w:val="uk-UA"/>
              </w:rPr>
              <w:t xml:space="preserve">Цей регуляторний акт відповідає потребам у розв’язанні визначеної проблеми та принципам державної регуляторної політики. Затвердження такого регуляторного </w:t>
            </w:r>
            <w:proofErr w:type="spellStart"/>
            <w:r w:rsidRPr="00ED1F80">
              <w:rPr>
                <w:rStyle w:val="2"/>
                <w:lang w:val="uk-UA"/>
              </w:rPr>
              <w:t>акта</w:t>
            </w:r>
            <w:proofErr w:type="spellEnd"/>
            <w:r w:rsidRPr="00ED1F80">
              <w:rPr>
                <w:rStyle w:val="2"/>
                <w:lang w:val="uk-UA"/>
              </w:rPr>
              <w:t xml:space="preserve"> забезпечить поступове досягнення встановлених цілей.</w:t>
            </w:r>
          </w:p>
        </w:tc>
        <w:tc>
          <w:tcPr>
            <w:tcW w:w="161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lang w:val="uk-UA"/>
              </w:rPr>
              <w:t>Зміни у Податковому кодексі України, зниження платоспроможності платників податків, зменшення кількості суб’єктів господарювання. Політична та економічна ситуація в країні.</w:t>
            </w:r>
          </w:p>
        </w:tc>
      </w:tr>
      <w:tr w:rsidR="00ED1F80" w:rsidRPr="00ED1F80" w:rsidTr="00667251">
        <w:trPr>
          <w:tblCellSpacing w:w="22" w:type="dxa"/>
        </w:trPr>
        <w:tc>
          <w:tcPr>
            <w:tcW w:w="11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spacing w:after="0" w:line="240" w:lineRule="auto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 w:rsidRPr="00ED1F80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Не прийняття регуляторного </w:t>
            </w:r>
            <w:proofErr w:type="spellStart"/>
            <w:r w:rsidRPr="00ED1F80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акта</w:t>
            </w:r>
            <w:proofErr w:type="spellEnd"/>
            <w:r w:rsidRPr="00ED1F80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 (залишення існуючої на даний момент ситуації без змін)</w:t>
            </w:r>
          </w:p>
        </w:tc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AB78C7">
            <w:pPr>
              <w:pStyle w:val="a3"/>
              <w:jc w:val="both"/>
              <w:rPr>
                <w:lang w:val="uk-UA"/>
              </w:rPr>
            </w:pPr>
            <w:r w:rsidRPr="00ED1F80">
              <w:rPr>
                <w:lang w:val="uk-UA"/>
              </w:rPr>
              <w:t>Рішення про вста</w:t>
            </w:r>
            <w:r w:rsidR="00765D89" w:rsidRPr="00ED1F80">
              <w:rPr>
                <w:lang w:val="uk-UA"/>
              </w:rPr>
              <w:t>новлення єдиного податку на 202</w:t>
            </w:r>
            <w:r w:rsidR="00AB78C7" w:rsidRPr="00ED1F80">
              <w:rPr>
                <w:lang w:val="uk-UA"/>
              </w:rPr>
              <w:t>2</w:t>
            </w:r>
            <w:r w:rsidR="00765D89" w:rsidRPr="00ED1F80">
              <w:rPr>
                <w:lang w:val="uk-UA"/>
              </w:rPr>
              <w:t xml:space="preserve"> рік не буде діяти у 202</w:t>
            </w:r>
            <w:r w:rsidR="00AB78C7" w:rsidRPr="00ED1F80">
              <w:rPr>
                <w:lang w:val="uk-UA"/>
              </w:rPr>
              <w:t>3</w:t>
            </w:r>
            <w:r w:rsidRPr="00ED1F80">
              <w:rPr>
                <w:lang w:val="uk-UA"/>
              </w:rPr>
              <w:t xml:space="preserve"> році, що значно зменшить надходження до місцевого бюджету. </w:t>
            </w:r>
            <w:r w:rsidRPr="00ED1F80">
              <w:rPr>
                <w:sz w:val="22"/>
                <w:szCs w:val="22"/>
                <w:lang w:val="uk-UA"/>
              </w:rPr>
              <w:t>О</w:t>
            </w:r>
            <w:r w:rsidRPr="00ED1F80">
              <w:rPr>
                <w:rStyle w:val="2"/>
                <w:lang w:val="uk-UA"/>
              </w:rPr>
              <w:t>б</w:t>
            </w:r>
            <w:r w:rsidRPr="00ED1F80">
              <w:rPr>
                <w:b/>
                <w:lang w:val="uk-UA"/>
              </w:rPr>
              <w:t>’</w:t>
            </w:r>
            <w:r w:rsidRPr="00ED1F80">
              <w:rPr>
                <w:rStyle w:val="2"/>
                <w:lang w:val="uk-UA"/>
              </w:rPr>
              <w:t>єднана територіальна громада</w:t>
            </w:r>
            <w:r w:rsidRPr="00ED1F80">
              <w:rPr>
                <w:lang w:val="uk-UA"/>
              </w:rPr>
              <w:t xml:space="preserve"> не отримає належного фінансування програм соціально-економічного розвитку.</w:t>
            </w:r>
          </w:p>
        </w:tc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59F" w:rsidRPr="00ED1F80" w:rsidRDefault="00C9159F" w:rsidP="008153EA">
            <w:pPr>
              <w:pStyle w:val="a3"/>
              <w:jc w:val="center"/>
              <w:rPr>
                <w:lang w:val="uk-UA"/>
              </w:rPr>
            </w:pPr>
            <w:r w:rsidRPr="00ED1F80">
              <w:rPr>
                <w:lang w:val="uk-UA"/>
              </w:rPr>
              <w:t>Х</w:t>
            </w:r>
          </w:p>
        </w:tc>
      </w:tr>
    </w:tbl>
    <w:p w:rsidR="00C9159F" w:rsidRPr="00ED1F80" w:rsidRDefault="00C9159F" w:rsidP="00C9159F">
      <w:pPr>
        <w:pStyle w:val="3"/>
        <w:spacing w:before="120" w:beforeAutospacing="0" w:after="0" w:afterAutospacing="0"/>
        <w:jc w:val="center"/>
        <w:rPr>
          <w:lang w:val="uk-UA"/>
        </w:rPr>
      </w:pPr>
      <w:r w:rsidRPr="00ED1F80">
        <w:rPr>
          <w:lang w:val="uk-UA"/>
        </w:rPr>
        <w:t>V. Механізми та заходи, які забезпечать розв'язання визначеної проблеми</w:t>
      </w:r>
    </w:p>
    <w:p w:rsidR="00C9159F" w:rsidRPr="00ED1F80" w:rsidRDefault="00C9159F" w:rsidP="00C9159F">
      <w:pPr>
        <w:pStyle w:val="3"/>
        <w:spacing w:before="120" w:beforeAutospacing="0" w:after="0" w:afterAutospacing="0"/>
        <w:jc w:val="center"/>
        <w:rPr>
          <w:lang w:val="uk-UA"/>
        </w:rPr>
      </w:pPr>
    </w:p>
    <w:p w:rsidR="00C9159F" w:rsidRPr="00ED1F80" w:rsidRDefault="00C9159F" w:rsidP="00C9159F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 w:rsidRPr="00ED1F80">
        <w:rPr>
          <w:rStyle w:val="2"/>
          <w:rFonts w:ascii="Times New Roman" w:hAnsi="Times New Roman"/>
          <w:sz w:val="24"/>
          <w:szCs w:val="24"/>
          <w:lang w:val="uk-UA"/>
        </w:rPr>
        <w:t>1</w:t>
      </w:r>
      <w:r w:rsidR="00765D89" w:rsidRPr="00ED1F80">
        <w:rPr>
          <w:rStyle w:val="2"/>
          <w:rFonts w:ascii="Times New Roman" w:hAnsi="Times New Roman"/>
          <w:sz w:val="24"/>
          <w:szCs w:val="24"/>
          <w:lang w:val="uk-UA"/>
        </w:rPr>
        <w:t xml:space="preserve">. Оприлюднення </w:t>
      </w:r>
      <w:proofErr w:type="spellStart"/>
      <w:r w:rsidR="00765D89" w:rsidRPr="00ED1F80">
        <w:rPr>
          <w:rStyle w:val="2"/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 w:rsidR="00765D89" w:rsidRPr="00ED1F80">
        <w:rPr>
          <w:rStyle w:val="2"/>
          <w:rFonts w:ascii="Times New Roman" w:hAnsi="Times New Roman"/>
          <w:sz w:val="24"/>
          <w:szCs w:val="24"/>
          <w:lang w:val="uk-UA"/>
        </w:rPr>
        <w:t xml:space="preserve"> рішення „</w:t>
      </w:r>
      <w:r w:rsidRPr="00ED1F80">
        <w:rPr>
          <w:rFonts w:ascii="Times New Roman" w:hAnsi="Times New Roman"/>
          <w:sz w:val="24"/>
          <w:szCs w:val="24"/>
          <w:lang w:val="uk-UA"/>
        </w:rPr>
        <w:t>Про встановлення</w:t>
      </w:r>
      <w:r w:rsidR="00765D89" w:rsidRPr="00ED1F80">
        <w:rPr>
          <w:rFonts w:ascii="Times New Roman" w:hAnsi="Times New Roman"/>
          <w:sz w:val="24"/>
          <w:szCs w:val="24"/>
          <w:lang w:val="uk-UA"/>
        </w:rPr>
        <w:t xml:space="preserve"> ставок із сплати </w:t>
      </w:r>
      <w:r w:rsidRPr="00ED1F80">
        <w:rPr>
          <w:rFonts w:ascii="Times New Roman" w:hAnsi="Times New Roman"/>
          <w:sz w:val="24"/>
          <w:szCs w:val="24"/>
          <w:lang w:val="uk-UA"/>
        </w:rPr>
        <w:t>єдиного податку</w:t>
      </w:r>
      <w:r w:rsidR="00765D89" w:rsidRPr="00ED1F80">
        <w:rPr>
          <w:rFonts w:ascii="Times New Roman" w:hAnsi="Times New Roman"/>
          <w:sz w:val="24"/>
          <w:szCs w:val="24"/>
          <w:lang w:val="uk-UA"/>
        </w:rPr>
        <w:t>”</w:t>
      </w:r>
      <w:r w:rsidRPr="00ED1F8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D1F80">
        <w:rPr>
          <w:rStyle w:val="2"/>
          <w:rFonts w:ascii="Times New Roman" w:hAnsi="Times New Roman"/>
          <w:sz w:val="24"/>
          <w:szCs w:val="24"/>
          <w:lang w:val="uk-UA"/>
        </w:rPr>
        <w:t>з метою отримання зауважень та пропозицій.</w:t>
      </w:r>
    </w:p>
    <w:p w:rsidR="00C9159F" w:rsidRPr="00ED1F80" w:rsidRDefault="00C9159F" w:rsidP="00C9159F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 w:rsidRPr="00ED1F80">
        <w:rPr>
          <w:rStyle w:val="2"/>
          <w:rFonts w:ascii="Times New Roman" w:hAnsi="Times New Roman"/>
          <w:sz w:val="24"/>
          <w:szCs w:val="24"/>
          <w:lang w:val="uk-UA"/>
        </w:rPr>
        <w:t>2.</w:t>
      </w:r>
      <w:r w:rsidR="00765D89" w:rsidRPr="00ED1F80">
        <w:rPr>
          <w:rStyle w:val="2"/>
          <w:rFonts w:ascii="Times New Roman" w:hAnsi="Times New Roman"/>
          <w:sz w:val="24"/>
          <w:szCs w:val="24"/>
          <w:lang w:val="uk-UA"/>
        </w:rPr>
        <w:t> </w:t>
      </w:r>
      <w:r w:rsidRPr="00ED1F80">
        <w:rPr>
          <w:rStyle w:val="2"/>
          <w:rFonts w:ascii="Times New Roman" w:hAnsi="Times New Roman"/>
          <w:sz w:val="24"/>
          <w:szCs w:val="24"/>
          <w:lang w:val="uk-UA"/>
        </w:rPr>
        <w:t>Аналіз та моніторинг діючих ставок оподаткування по містам та селам Закарпатської області у 202</w:t>
      </w:r>
      <w:r w:rsidR="00AB78C7" w:rsidRPr="00ED1F80">
        <w:rPr>
          <w:rStyle w:val="2"/>
          <w:rFonts w:ascii="Times New Roman" w:hAnsi="Times New Roman"/>
          <w:sz w:val="24"/>
          <w:szCs w:val="24"/>
          <w:lang w:val="uk-UA"/>
        </w:rPr>
        <w:t>3</w:t>
      </w:r>
      <w:r w:rsidRPr="00ED1F80">
        <w:rPr>
          <w:rStyle w:val="2"/>
          <w:rFonts w:ascii="Times New Roman" w:hAnsi="Times New Roman"/>
          <w:sz w:val="24"/>
          <w:szCs w:val="24"/>
          <w:lang w:val="uk-UA"/>
        </w:rPr>
        <w:t xml:space="preserve"> році.</w:t>
      </w:r>
    </w:p>
    <w:p w:rsidR="00C9159F" w:rsidRPr="00ED1F80" w:rsidRDefault="00765D89" w:rsidP="00C9159F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 w:rsidRPr="00ED1F80">
        <w:rPr>
          <w:rStyle w:val="2"/>
          <w:rFonts w:ascii="Times New Roman" w:hAnsi="Times New Roman"/>
          <w:sz w:val="24"/>
          <w:szCs w:val="24"/>
          <w:lang w:val="uk-UA"/>
        </w:rPr>
        <w:t>3. </w:t>
      </w:r>
      <w:r w:rsidR="00C9159F" w:rsidRPr="00ED1F80">
        <w:rPr>
          <w:rStyle w:val="2"/>
          <w:rFonts w:ascii="Times New Roman" w:hAnsi="Times New Roman"/>
          <w:sz w:val="24"/>
          <w:szCs w:val="24"/>
          <w:lang w:val="uk-UA"/>
        </w:rPr>
        <w:t>Отримання пропозицій щодо встановлення ставок оподаткування.</w:t>
      </w:r>
    </w:p>
    <w:p w:rsidR="00C9159F" w:rsidRPr="00ED1F80" w:rsidRDefault="00765D89" w:rsidP="00C9159F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 w:rsidRPr="00ED1F80">
        <w:rPr>
          <w:rStyle w:val="2"/>
          <w:rFonts w:ascii="Times New Roman" w:hAnsi="Times New Roman"/>
          <w:sz w:val="24"/>
          <w:szCs w:val="24"/>
          <w:lang w:val="uk-UA"/>
        </w:rPr>
        <w:t>4. </w:t>
      </w:r>
      <w:r w:rsidR="00C9159F" w:rsidRPr="00ED1F80">
        <w:rPr>
          <w:rStyle w:val="2"/>
          <w:rFonts w:ascii="Times New Roman" w:hAnsi="Times New Roman"/>
          <w:sz w:val="24"/>
          <w:szCs w:val="24"/>
          <w:lang w:val="uk-UA"/>
        </w:rPr>
        <w:t>Встановлення ставок єдиного податку.</w:t>
      </w:r>
    </w:p>
    <w:p w:rsidR="00C9159F" w:rsidRPr="00ED1F80" w:rsidRDefault="00C9159F" w:rsidP="00C9159F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</w:p>
    <w:p w:rsidR="00C9159F" w:rsidRPr="00ED1F80" w:rsidRDefault="00C9159F" w:rsidP="00C9159F">
      <w:pPr>
        <w:pStyle w:val="3"/>
        <w:spacing w:before="120" w:beforeAutospacing="0" w:after="0" w:afterAutospacing="0"/>
        <w:jc w:val="center"/>
        <w:rPr>
          <w:lang w:val="uk-UA"/>
        </w:rPr>
      </w:pPr>
      <w:r w:rsidRPr="00ED1F80">
        <w:rPr>
          <w:lang w:val="uk-UA"/>
        </w:rPr>
        <w:t xml:space="preserve">VI. Оцінка виконання вимог регуляторного </w:t>
      </w:r>
      <w:proofErr w:type="spellStart"/>
      <w:r w:rsidRPr="00ED1F80">
        <w:rPr>
          <w:lang w:val="uk-UA"/>
        </w:rPr>
        <w:t>акта</w:t>
      </w:r>
      <w:proofErr w:type="spellEnd"/>
      <w:r w:rsidRPr="00ED1F80">
        <w:rPr>
          <w:lang w:val="uk-UA"/>
        </w:rPr>
        <w:t xml:space="preserve">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 або виконувати ці вимоги</w:t>
      </w:r>
    </w:p>
    <w:p w:rsidR="00C9159F" w:rsidRPr="00ED1F80" w:rsidRDefault="00C9159F" w:rsidP="00C9159F">
      <w:pPr>
        <w:pStyle w:val="a3"/>
        <w:spacing w:before="120" w:beforeAutospacing="0" w:after="0" w:afterAutospacing="0"/>
        <w:jc w:val="both"/>
        <w:rPr>
          <w:lang w:val="uk-UA"/>
        </w:rPr>
      </w:pPr>
      <w:r w:rsidRPr="00ED1F80">
        <w:rPr>
          <w:lang w:val="uk-UA"/>
        </w:rPr>
        <w:t xml:space="preserve">Здійснено розрахунок витрат на запровадження державного регулювання для суб'єктів малого підприємництва згідно з додатком 4 до Методики проведення аналізу впливу регуляторного </w:t>
      </w:r>
      <w:proofErr w:type="spellStart"/>
      <w:r w:rsidRPr="00ED1F80">
        <w:rPr>
          <w:lang w:val="uk-UA"/>
        </w:rPr>
        <w:t>акта</w:t>
      </w:r>
      <w:proofErr w:type="spellEnd"/>
      <w:r w:rsidRPr="00ED1F80">
        <w:rPr>
          <w:lang w:val="uk-UA"/>
        </w:rPr>
        <w:t xml:space="preserve"> (Тест малого підприємництва).</w:t>
      </w:r>
    </w:p>
    <w:p w:rsidR="00C9159F" w:rsidRPr="00ED1F80" w:rsidRDefault="00C9159F" w:rsidP="00C9159F">
      <w:pPr>
        <w:pStyle w:val="3"/>
        <w:spacing w:before="120" w:beforeAutospacing="0" w:after="0" w:afterAutospacing="0"/>
        <w:jc w:val="center"/>
        <w:rPr>
          <w:lang w:val="uk-UA"/>
        </w:rPr>
      </w:pPr>
      <w:r w:rsidRPr="00ED1F80">
        <w:rPr>
          <w:lang w:val="uk-UA"/>
        </w:rPr>
        <w:t xml:space="preserve">VII. Обґрунтування запропонованого строку дії регуляторного </w:t>
      </w:r>
      <w:proofErr w:type="spellStart"/>
      <w:r w:rsidRPr="00ED1F80">
        <w:rPr>
          <w:lang w:val="uk-UA"/>
        </w:rPr>
        <w:t>акта</w:t>
      </w:r>
      <w:proofErr w:type="spellEnd"/>
    </w:p>
    <w:p w:rsidR="00C9159F" w:rsidRPr="00ED1F80" w:rsidRDefault="00C9159F" w:rsidP="00C9159F">
      <w:pPr>
        <w:pStyle w:val="3"/>
        <w:spacing w:before="120" w:beforeAutospacing="0" w:after="0" w:afterAutospacing="0"/>
        <w:jc w:val="center"/>
        <w:rPr>
          <w:lang w:val="uk-UA"/>
        </w:rPr>
      </w:pPr>
    </w:p>
    <w:p w:rsidR="00C9159F" w:rsidRPr="00ED1F80" w:rsidRDefault="00C9159F" w:rsidP="00C9159F">
      <w:pPr>
        <w:spacing w:after="0" w:line="240" w:lineRule="auto"/>
        <w:ind w:firstLine="708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 w:rsidRPr="00ED1F80">
        <w:rPr>
          <w:rStyle w:val="2"/>
          <w:rFonts w:ascii="Times New Roman" w:hAnsi="Times New Roman"/>
          <w:sz w:val="24"/>
          <w:szCs w:val="24"/>
          <w:lang w:val="uk-UA"/>
        </w:rPr>
        <w:t xml:space="preserve">На дію цього регуляторного </w:t>
      </w:r>
      <w:proofErr w:type="spellStart"/>
      <w:r w:rsidRPr="00ED1F80">
        <w:rPr>
          <w:rStyle w:val="2"/>
          <w:rFonts w:ascii="Times New Roman" w:hAnsi="Times New Roman"/>
          <w:sz w:val="24"/>
          <w:szCs w:val="24"/>
          <w:lang w:val="uk-UA"/>
        </w:rPr>
        <w:t>акта</w:t>
      </w:r>
      <w:proofErr w:type="spellEnd"/>
      <w:r w:rsidRPr="00ED1F80">
        <w:rPr>
          <w:rStyle w:val="2"/>
          <w:rFonts w:ascii="Times New Roman" w:hAnsi="Times New Roman"/>
          <w:sz w:val="24"/>
          <w:szCs w:val="24"/>
          <w:lang w:val="uk-UA"/>
        </w:rPr>
        <w:t xml:space="preserve"> негативно можуть вплинути економічна  криза, значні темпи інфляції,</w:t>
      </w:r>
      <w:r w:rsidRPr="00ED1F80">
        <w:rPr>
          <w:rFonts w:ascii="Times New Roman" w:hAnsi="Times New Roman"/>
          <w:sz w:val="24"/>
          <w:szCs w:val="24"/>
          <w:lang w:val="uk-UA"/>
        </w:rPr>
        <w:t xml:space="preserve"> р</w:t>
      </w:r>
      <w:r w:rsidRPr="00ED1F80">
        <w:rPr>
          <w:rStyle w:val="2"/>
          <w:rFonts w:ascii="Times New Roman" w:hAnsi="Times New Roman"/>
          <w:sz w:val="24"/>
          <w:szCs w:val="24"/>
          <w:lang w:val="uk-UA"/>
        </w:rPr>
        <w:t xml:space="preserve">ізке </w:t>
      </w:r>
      <w:proofErr w:type="spellStart"/>
      <w:r w:rsidRPr="00ED1F80">
        <w:rPr>
          <w:rStyle w:val="2"/>
          <w:rFonts w:ascii="Times New Roman" w:hAnsi="Times New Roman"/>
          <w:sz w:val="24"/>
          <w:szCs w:val="24"/>
          <w:lang w:val="uk-UA"/>
        </w:rPr>
        <w:t>здорожчання</w:t>
      </w:r>
      <w:proofErr w:type="spellEnd"/>
      <w:r w:rsidRPr="00ED1F80">
        <w:rPr>
          <w:rStyle w:val="2"/>
          <w:rFonts w:ascii="Times New Roman" w:hAnsi="Times New Roman"/>
          <w:sz w:val="24"/>
          <w:szCs w:val="24"/>
          <w:lang w:val="uk-UA"/>
        </w:rPr>
        <w:t xml:space="preserve"> тарифів на енергоносії та продукти харчування </w:t>
      </w:r>
      <w:r w:rsidRPr="00ED1F80">
        <w:rPr>
          <w:rStyle w:val="2"/>
          <w:rFonts w:ascii="Times New Roman" w:hAnsi="Times New Roman"/>
          <w:sz w:val="24"/>
          <w:szCs w:val="24"/>
          <w:lang w:val="uk-UA"/>
        </w:rPr>
        <w:lastRenderedPageBreak/>
        <w:t>при незмінному розмірі мінімальної заробітної плати. Ці фактори впливають на рівень платоспроможності населення та призводять до закриття підприємницької діяльності.</w:t>
      </w:r>
    </w:p>
    <w:p w:rsidR="00C9159F" w:rsidRPr="00ED1F80" w:rsidRDefault="00C9159F" w:rsidP="00C9159F">
      <w:pPr>
        <w:spacing w:after="0" w:line="240" w:lineRule="auto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 w:rsidRPr="00ED1F80">
        <w:rPr>
          <w:rStyle w:val="2"/>
          <w:rFonts w:ascii="Times New Roman" w:hAnsi="Times New Roman"/>
          <w:sz w:val="24"/>
          <w:szCs w:val="24"/>
          <w:lang w:val="uk-UA"/>
        </w:rPr>
        <w:tab/>
        <w:t xml:space="preserve">Позитивно на дію цього регуляторного </w:t>
      </w:r>
      <w:proofErr w:type="spellStart"/>
      <w:r w:rsidRPr="00ED1F80">
        <w:rPr>
          <w:rStyle w:val="2"/>
          <w:rFonts w:ascii="Times New Roman" w:hAnsi="Times New Roman"/>
          <w:sz w:val="24"/>
          <w:szCs w:val="24"/>
          <w:lang w:val="uk-UA"/>
        </w:rPr>
        <w:t>акта</w:t>
      </w:r>
      <w:proofErr w:type="spellEnd"/>
      <w:r w:rsidRPr="00ED1F80">
        <w:rPr>
          <w:rStyle w:val="2"/>
          <w:rFonts w:ascii="Times New Roman" w:hAnsi="Times New Roman"/>
          <w:sz w:val="24"/>
          <w:szCs w:val="24"/>
          <w:lang w:val="uk-UA"/>
        </w:rPr>
        <w:t xml:space="preserve"> може вплинути економічна стабільність в країні та підвищення темпів росту ВВП. Вихід з </w:t>
      </w:r>
      <w:r w:rsidR="00765D89" w:rsidRPr="00ED1F80">
        <w:rPr>
          <w:rStyle w:val="2"/>
          <w:rFonts w:ascii="Times New Roman" w:hAnsi="Times New Roman"/>
          <w:sz w:val="24"/>
          <w:szCs w:val="24"/>
          <w:lang w:val="uk-UA"/>
        </w:rPr>
        <w:t>„</w:t>
      </w:r>
      <w:r w:rsidRPr="00ED1F80">
        <w:rPr>
          <w:rStyle w:val="2"/>
          <w:rFonts w:ascii="Times New Roman" w:hAnsi="Times New Roman"/>
          <w:sz w:val="24"/>
          <w:szCs w:val="24"/>
          <w:lang w:val="uk-UA"/>
        </w:rPr>
        <w:t>тіні</w:t>
      </w:r>
      <w:r w:rsidR="00765D89" w:rsidRPr="00ED1F80">
        <w:rPr>
          <w:rStyle w:val="2"/>
          <w:rFonts w:ascii="Times New Roman" w:hAnsi="Times New Roman"/>
          <w:sz w:val="24"/>
          <w:szCs w:val="24"/>
          <w:lang w:val="uk-UA"/>
        </w:rPr>
        <w:t>”</w:t>
      </w:r>
      <w:r w:rsidRPr="00ED1F80">
        <w:rPr>
          <w:rStyle w:val="2"/>
          <w:rFonts w:ascii="Times New Roman" w:hAnsi="Times New Roman"/>
          <w:sz w:val="24"/>
          <w:szCs w:val="24"/>
          <w:lang w:val="uk-UA"/>
        </w:rPr>
        <w:t xml:space="preserve"> бізнесу сприятиме збільшенню надходжень до бюджетів усіх рівнів.</w:t>
      </w:r>
    </w:p>
    <w:p w:rsidR="00C9159F" w:rsidRPr="00ED1F80" w:rsidRDefault="00C9159F" w:rsidP="00C9159F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ED1F80">
        <w:rPr>
          <w:rFonts w:ascii="Times New Roman" w:hAnsi="Times New Roman"/>
          <w:sz w:val="24"/>
          <w:szCs w:val="24"/>
          <w:lang w:val="uk-UA"/>
        </w:rPr>
        <w:t xml:space="preserve">          Згідно вимог чинного законодавства строк дії запропонованого регуляторного </w:t>
      </w:r>
      <w:proofErr w:type="spellStart"/>
      <w:r w:rsidRPr="00ED1F80">
        <w:rPr>
          <w:rFonts w:ascii="Times New Roman" w:hAnsi="Times New Roman"/>
          <w:sz w:val="24"/>
          <w:szCs w:val="24"/>
          <w:lang w:val="uk-UA"/>
        </w:rPr>
        <w:t>акта</w:t>
      </w:r>
      <w:proofErr w:type="spellEnd"/>
      <w:r w:rsidRPr="00ED1F80">
        <w:rPr>
          <w:rFonts w:ascii="Times New Roman" w:hAnsi="Times New Roman"/>
          <w:sz w:val="24"/>
          <w:szCs w:val="24"/>
          <w:lang w:val="uk-UA"/>
        </w:rPr>
        <w:t xml:space="preserve"> обмежений. Строк дії регуляторного </w:t>
      </w:r>
      <w:proofErr w:type="spellStart"/>
      <w:r w:rsidRPr="00ED1F80">
        <w:rPr>
          <w:rFonts w:ascii="Times New Roman" w:hAnsi="Times New Roman"/>
          <w:sz w:val="24"/>
          <w:szCs w:val="24"/>
          <w:lang w:val="uk-UA"/>
        </w:rPr>
        <w:t>акта</w:t>
      </w:r>
      <w:proofErr w:type="spellEnd"/>
      <w:r w:rsidRPr="00ED1F80">
        <w:rPr>
          <w:rFonts w:ascii="Times New Roman" w:hAnsi="Times New Roman"/>
          <w:sz w:val="24"/>
          <w:szCs w:val="24"/>
          <w:lang w:val="uk-UA"/>
        </w:rPr>
        <w:t xml:space="preserve"> з 01.01.20</w:t>
      </w:r>
      <w:r w:rsidR="00765D89" w:rsidRPr="00ED1F80">
        <w:rPr>
          <w:rFonts w:ascii="Times New Roman" w:hAnsi="Times New Roman"/>
          <w:sz w:val="24"/>
          <w:szCs w:val="24"/>
          <w:lang w:val="uk-UA"/>
        </w:rPr>
        <w:t>2</w:t>
      </w:r>
      <w:r w:rsidR="00C5542E" w:rsidRPr="00ED1F80">
        <w:rPr>
          <w:rFonts w:ascii="Times New Roman" w:hAnsi="Times New Roman"/>
          <w:sz w:val="24"/>
          <w:szCs w:val="24"/>
          <w:lang w:val="uk-UA"/>
        </w:rPr>
        <w:t>3</w:t>
      </w:r>
      <w:r w:rsidRPr="00ED1F80">
        <w:rPr>
          <w:rFonts w:ascii="Times New Roman" w:hAnsi="Times New Roman"/>
          <w:sz w:val="24"/>
          <w:szCs w:val="24"/>
          <w:lang w:val="uk-UA"/>
        </w:rPr>
        <w:t xml:space="preserve"> року по 31.12.20</w:t>
      </w:r>
      <w:r w:rsidR="00765D89" w:rsidRPr="00ED1F80">
        <w:rPr>
          <w:rFonts w:ascii="Times New Roman" w:hAnsi="Times New Roman"/>
          <w:sz w:val="24"/>
          <w:szCs w:val="24"/>
          <w:lang w:val="uk-UA"/>
        </w:rPr>
        <w:t>2</w:t>
      </w:r>
      <w:r w:rsidR="00C5542E" w:rsidRPr="00ED1F80">
        <w:rPr>
          <w:rFonts w:ascii="Times New Roman" w:hAnsi="Times New Roman"/>
          <w:sz w:val="24"/>
          <w:szCs w:val="24"/>
          <w:lang w:val="uk-UA"/>
        </w:rPr>
        <w:t>3</w:t>
      </w:r>
      <w:r w:rsidRPr="00ED1F80">
        <w:rPr>
          <w:rFonts w:ascii="Times New Roman" w:hAnsi="Times New Roman"/>
          <w:sz w:val="24"/>
          <w:szCs w:val="24"/>
          <w:lang w:val="uk-UA"/>
        </w:rPr>
        <w:t xml:space="preserve"> року із можливістю внесення до нього змін та його відміни у разі зміни чинного законодавства чи в інших необхідних випадках.</w:t>
      </w:r>
      <w:r w:rsidRPr="00ED1F80">
        <w:rPr>
          <w:rFonts w:ascii="Times New Roman" w:hAnsi="Times New Roman"/>
          <w:sz w:val="24"/>
          <w:szCs w:val="24"/>
          <w:lang w:val="uk-UA"/>
        </w:rPr>
        <w:tab/>
      </w:r>
    </w:p>
    <w:p w:rsidR="00C9159F" w:rsidRPr="00ED1F80" w:rsidRDefault="00C9159F" w:rsidP="00C9159F">
      <w:pPr>
        <w:pStyle w:val="3"/>
        <w:spacing w:before="120" w:beforeAutospacing="0" w:after="0" w:afterAutospacing="0"/>
        <w:jc w:val="center"/>
        <w:rPr>
          <w:sz w:val="24"/>
          <w:szCs w:val="24"/>
          <w:lang w:val="uk-UA"/>
        </w:rPr>
      </w:pPr>
      <w:r w:rsidRPr="00ED1F80">
        <w:rPr>
          <w:sz w:val="24"/>
          <w:szCs w:val="24"/>
          <w:lang w:val="uk-UA"/>
        </w:rPr>
        <w:t>VIII. Визначення показників результативності</w:t>
      </w:r>
      <w:r w:rsidRPr="00ED1F80">
        <w:rPr>
          <w:lang w:val="uk-UA"/>
        </w:rPr>
        <w:t xml:space="preserve"> </w:t>
      </w:r>
      <w:r w:rsidRPr="00ED1F80">
        <w:rPr>
          <w:sz w:val="24"/>
          <w:szCs w:val="24"/>
          <w:lang w:val="uk-UA"/>
        </w:rPr>
        <w:t xml:space="preserve">дії регуляторного </w:t>
      </w:r>
      <w:proofErr w:type="spellStart"/>
      <w:r w:rsidRPr="00ED1F80">
        <w:rPr>
          <w:sz w:val="24"/>
          <w:szCs w:val="24"/>
          <w:lang w:val="uk-UA"/>
        </w:rPr>
        <w:t>акта</w:t>
      </w:r>
      <w:proofErr w:type="spellEnd"/>
    </w:p>
    <w:p w:rsidR="00C9159F" w:rsidRPr="00ED1F80" w:rsidRDefault="00C9159F" w:rsidP="00C9159F">
      <w:pPr>
        <w:pStyle w:val="3"/>
        <w:spacing w:before="120" w:beforeAutospacing="0" w:after="0" w:afterAutospacing="0"/>
        <w:jc w:val="center"/>
        <w:rPr>
          <w:lang w:val="uk-UA"/>
        </w:rPr>
      </w:pPr>
    </w:p>
    <w:p w:rsidR="00C9159F" w:rsidRPr="00ED1F80" w:rsidRDefault="00C9159F" w:rsidP="00765D89">
      <w:pPr>
        <w:spacing w:after="0" w:line="240" w:lineRule="auto"/>
        <w:ind w:firstLine="708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 w:rsidRPr="00ED1F80">
        <w:rPr>
          <w:rStyle w:val="2"/>
          <w:rFonts w:ascii="Times New Roman" w:hAnsi="Times New Roman"/>
          <w:sz w:val="24"/>
          <w:szCs w:val="24"/>
          <w:lang w:val="uk-UA"/>
        </w:rPr>
        <w:t xml:space="preserve">Виходячи з цілей державного регулювання, визначених у другому розділі аналізу регуляторного впливу, для відстеження результативності цього регуляторного </w:t>
      </w:r>
      <w:proofErr w:type="spellStart"/>
      <w:r w:rsidRPr="00ED1F80">
        <w:rPr>
          <w:rStyle w:val="2"/>
          <w:rFonts w:ascii="Times New Roman" w:hAnsi="Times New Roman"/>
          <w:sz w:val="24"/>
          <w:szCs w:val="24"/>
          <w:lang w:val="uk-UA"/>
        </w:rPr>
        <w:t>акта</w:t>
      </w:r>
      <w:proofErr w:type="spellEnd"/>
      <w:r w:rsidRPr="00ED1F80">
        <w:rPr>
          <w:rStyle w:val="2"/>
          <w:rFonts w:ascii="Times New Roman" w:hAnsi="Times New Roman"/>
          <w:sz w:val="24"/>
          <w:szCs w:val="24"/>
          <w:lang w:val="uk-UA"/>
        </w:rPr>
        <w:t xml:space="preserve"> обрано такі прогнозні показники:</w:t>
      </w:r>
    </w:p>
    <w:p w:rsidR="00C9159F" w:rsidRPr="00ED1F80" w:rsidRDefault="00C9159F" w:rsidP="00C9159F">
      <w:pPr>
        <w:spacing w:after="0" w:line="240" w:lineRule="auto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394"/>
      </w:tblGrid>
      <w:tr w:rsidR="00ED1F80" w:rsidRPr="00ED1F80" w:rsidTr="008153EA">
        <w:trPr>
          <w:tblHeader/>
        </w:trPr>
        <w:tc>
          <w:tcPr>
            <w:tcW w:w="5245" w:type="dxa"/>
          </w:tcPr>
          <w:p w:rsidR="00C9159F" w:rsidRPr="00ED1F80" w:rsidRDefault="00C9159F" w:rsidP="008153EA">
            <w:pPr>
              <w:pStyle w:val="aa"/>
              <w:jc w:val="center"/>
              <w:rPr>
                <w:b/>
                <w:i/>
                <w:sz w:val="24"/>
                <w:szCs w:val="24"/>
              </w:rPr>
            </w:pPr>
            <w:r w:rsidRPr="00ED1F80">
              <w:rPr>
                <w:b/>
                <w:i/>
                <w:sz w:val="24"/>
                <w:szCs w:val="24"/>
              </w:rPr>
              <w:t>Показник</w:t>
            </w:r>
          </w:p>
        </w:tc>
        <w:tc>
          <w:tcPr>
            <w:tcW w:w="4394" w:type="dxa"/>
          </w:tcPr>
          <w:p w:rsidR="00C9159F" w:rsidRPr="00ED1F80" w:rsidRDefault="00765D89" w:rsidP="007A0A8D">
            <w:pPr>
              <w:pStyle w:val="aa"/>
              <w:jc w:val="center"/>
              <w:rPr>
                <w:b/>
                <w:i/>
                <w:sz w:val="24"/>
                <w:szCs w:val="24"/>
              </w:rPr>
            </w:pPr>
            <w:r w:rsidRPr="00ED1F80">
              <w:rPr>
                <w:b/>
                <w:i/>
                <w:sz w:val="24"/>
                <w:szCs w:val="24"/>
              </w:rPr>
              <w:t>202</w:t>
            </w:r>
            <w:r w:rsidR="007A0A8D" w:rsidRPr="00ED1F80">
              <w:rPr>
                <w:b/>
                <w:i/>
                <w:sz w:val="24"/>
                <w:szCs w:val="24"/>
              </w:rPr>
              <w:t>3</w:t>
            </w:r>
            <w:r w:rsidR="00C9159F" w:rsidRPr="00ED1F80">
              <w:rPr>
                <w:b/>
                <w:i/>
                <w:sz w:val="24"/>
                <w:szCs w:val="24"/>
              </w:rPr>
              <w:t xml:space="preserve"> рік</w:t>
            </w:r>
          </w:p>
        </w:tc>
      </w:tr>
      <w:tr w:rsidR="00ED1F80" w:rsidRPr="00ED1F80" w:rsidTr="008153EA">
        <w:trPr>
          <w:trHeight w:val="485"/>
        </w:trPr>
        <w:tc>
          <w:tcPr>
            <w:tcW w:w="5245" w:type="dxa"/>
          </w:tcPr>
          <w:p w:rsidR="00C9159F" w:rsidRPr="00ED1F80" w:rsidRDefault="00C9159F" w:rsidP="008153EA">
            <w:pPr>
              <w:pStyle w:val="aa"/>
              <w:rPr>
                <w:sz w:val="24"/>
                <w:szCs w:val="24"/>
              </w:rPr>
            </w:pPr>
            <w:r w:rsidRPr="00ED1F80">
              <w:rPr>
                <w:sz w:val="24"/>
                <w:szCs w:val="24"/>
              </w:rPr>
              <w:t>Кількість платників єдиного податку, на яких поширюватиметься регуляторний акт, осіб, у тому числі:</w:t>
            </w:r>
          </w:p>
        </w:tc>
        <w:tc>
          <w:tcPr>
            <w:tcW w:w="4394" w:type="dxa"/>
            <w:vAlign w:val="center"/>
          </w:tcPr>
          <w:p w:rsidR="00C9159F" w:rsidRPr="00ED1F80" w:rsidRDefault="00C9159F" w:rsidP="008153EA">
            <w:pPr>
              <w:pStyle w:val="aa"/>
              <w:jc w:val="center"/>
              <w:rPr>
                <w:sz w:val="24"/>
                <w:szCs w:val="24"/>
              </w:rPr>
            </w:pPr>
            <w:r w:rsidRPr="00ED1F80">
              <w:rPr>
                <w:sz w:val="24"/>
                <w:szCs w:val="24"/>
              </w:rPr>
              <w:t>490</w:t>
            </w:r>
          </w:p>
        </w:tc>
      </w:tr>
      <w:tr w:rsidR="00ED1F80" w:rsidRPr="00ED1F80" w:rsidTr="008153EA">
        <w:trPr>
          <w:trHeight w:val="485"/>
        </w:trPr>
        <w:tc>
          <w:tcPr>
            <w:tcW w:w="5245" w:type="dxa"/>
          </w:tcPr>
          <w:p w:rsidR="00C9159F" w:rsidRPr="00ED1F80" w:rsidRDefault="00C9159F" w:rsidP="008153EA">
            <w:pPr>
              <w:pStyle w:val="aa"/>
              <w:rPr>
                <w:sz w:val="24"/>
                <w:szCs w:val="24"/>
              </w:rPr>
            </w:pPr>
            <w:r w:rsidRPr="00ED1F80">
              <w:rPr>
                <w:sz w:val="24"/>
                <w:szCs w:val="24"/>
              </w:rPr>
              <w:t>- юридичних осіб</w:t>
            </w:r>
          </w:p>
        </w:tc>
        <w:tc>
          <w:tcPr>
            <w:tcW w:w="4394" w:type="dxa"/>
            <w:vAlign w:val="center"/>
          </w:tcPr>
          <w:p w:rsidR="00C9159F" w:rsidRPr="00ED1F80" w:rsidRDefault="00C9159F" w:rsidP="008153EA">
            <w:pPr>
              <w:pStyle w:val="aa"/>
              <w:jc w:val="center"/>
              <w:rPr>
                <w:sz w:val="24"/>
                <w:szCs w:val="24"/>
              </w:rPr>
            </w:pPr>
            <w:r w:rsidRPr="00ED1F80">
              <w:rPr>
                <w:sz w:val="24"/>
                <w:szCs w:val="24"/>
              </w:rPr>
              <w:t>46</w:t>
            </w:r>
          </w:p>
        </w:tc>
      </w:tr>
      <w:tr w:rsidR="00ED1F80" w:rsidRPr="00ED1F80" w:rsidTr="008153EA">
        <w:trPr>
          <w:trHeight w:val="485"/>
        </w:trPr>
        <w:tc>
          <w:tcPr>
            <w:tcW w:w="5245" w:type="dxa"/>
          </w:tcPr>
          <w:p w:rsidR="00C9159F" w:rsidRPr="00ED1F80" w:rsidRDefault="00C9159F" w:rsidP="008153EA">
            <w:pPr>
              <w:pStyle w:val="aa"/>
              <w:rPr>
                <w:sz w:val="24"/>
                <w:szCs w:val="24"/>
              </w:rPr>
            </w:pPr>
            <w:r w:rsidRPr="00ED1F80">
              <w:rPr>
                <w:sz w:val="24"/>
                <w:szCs w:val="24"/>
              </w:rPr>
              <w:t>- фізичних осіб</w:t>
            </w:r>
          </w:p>
        </w:tc>
        <w:tc>
          <w:tcPr>
            <w:tcW w:w="4394" w:type="dxa"/>
            <w:vAlign w:val="center"/>
          </w:tcPr>
          <w:p w:rsidR="00C9159F" w:rsidRPr="00ED1F80" w:rsidRDefault="00C9159F" w:rsidP="008153EA">
            <w:pPr>
              <w:pStyle w:val="aa"/>
              <w:jc w:val="center"/>
              <w:rPr>
                <w:sz w:val="24"/>
                <w:szCs w:val="24"/>
              </w:rPr>
            </w:pPr>
            <w:r w:rsidRPr="00ED1F80">
              <w:rPr>
                <w:sz w:val="24"/>
                <w:szCs w:val="24"/>
              </w:rPr>
              <w:t>444</w:t>
            </w:r>
          </w:p>
        </w:tc>
      </w:tr>
      <w:tr w:rsidR="00ED1F80" w:rsidRPr="00ED1F80" w:rsidTr="008153EA">
        <w:tc>
          <w:tcPr>
            <w:tcW w:w="5245" w:type="dxa"/>
          </w:tcPr>
          <w:p w:rsidR="00C9159F" w:rsidRPr="00ED1F80" w:rsidRDefault="00C9159F" w:rsidP="004C2631">
            <w:pPr>
              <w:tabs>
                <w:tab w:val="left" w:pos="313"/>
              </w:tabs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ED1F80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Надходження до місцевого бюджету єдиного податку від всіх груп платників (</w:t>
            </w:r>
            <w:r w:rsidR="004C2631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тис</w:t>
            </w:r>
            <w:bookmarkStart w:id="0" w:name="_GoBack"/>
            <w:bookmarkEnd w:id="0"/>
            <w:r w:rsidRPr="00ED1F80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. грн.)</w:t>
            </w:r>
            <w:r w:rsidRPr="00ED1F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тому числі:</w:t>
            </w:r>
          </w:p>
        </w:tc>
        <w:tc>
          <w:tcPr>
            <w:tcW w:w="4394" w:type="dxa"/>
            <w:vAlign w:val="center"/>
          </w:tcPr>
          <w:p w:rsidR="00C9159F" w:rsidRPr="00ED1F80" w:rsidRDefault="00C9159F" w:rsidP="00CA68B3">
            <w:pPr>
              <w:pStyle w:val="aa"/>
              <w:jc w:val="center"/>
              <w:rPr>
                <w:sz w:val="24"/>
                <w:szCs w:val="24"/>
              </w:rPr>
            </w:pPr>
            <w:r w:rsidRPr="00ED1F80">
              <w:rPr>
                <w:sz w:val="24"/>
                <w:szCs w:val="24"/>
              </w:rPr>
              <w:t>6707</w:t>
            </w:r>
            <w:r w:rsidR="00CA68B3" w:rsidRPr="00ED1F80">
              <w:rPr>
                <w:sz w:val="24"/>
                <w:szCs w:val="24"/>
              </w:rPr>
              <w:t>,0</w:t>
            </w:r>
          </w:p>
        </w:tc>
      </w:tr>
      <w:tr w:rsidR="00ED1F80" w:rsidRPr="00ED1F80" w:rsidTr="008153EA">
        <w:trPr>
          <w:trHeight w:val="485"/>
        </w:trPr>
        <w:tc>
          <w:tcPr>
            <w:tcW w:w="5245" w:type="dxa"/>
          </w:tcPr>
          <w:p w:rsidR="00C9159F" w:rsidRPr="00ED1F80" w:rsidRDefault="00C9159F" w:rsidP="008153EA">
            <w:pPr>
              <w:pStyle w:val="aa"/>
              <w:rPr>
                <w:sz w:val="24"/>
                <w:szCs w:val="24"/>
              </w:rPr>
            </w:pPr>
          </w:p>
          <w:p w:rsidR="00C9159F" w:rsidRPr="00ED1F80" w:rsidRDefault="00C9159F" w:rsidP="008153EA">
            <w:pPr>
              <w:pStyle w:val="aa"/>
              <w:rPr>
                <w:sz w:val="24"/>
                <w:szCs w:val="24"/>
              </w:rPr>
            </w:pPr>
            <w:r w:rsidRPr="00ED1F80">
              <w:rPr>
                <w:sz w:val="24"/>
                <w:szCs w:val="24"/>
              </w:rPr>
              <w:t>- юридичними особами</w:t>
            </w:r>
          </w:p>
        </w:tc>
        <w:tc>
          <w:tcPr>
            <w:tcW w:w="4394" w:type="dxa"/>
            <w:vAlign w:val="center"/>
          </w:tcPr>
          <w:p w:rsidR="00C9159F" w:rsidRPr="00ED1F80" w:rsidRDefault="00C9159F" w:rsidP="00CA68B3">
            <w:pPr>
              <w:pStyle w:val="aa"/>
              <w:jc w:val="center"/>
              <w:rPr>
                <w:sz w:val="24"/>
                <w:szCs w:val="24"/>
              </w:rPr>
            </w:pPr>
            <w:r w:rsidRPr="00ED1F80">
              <w:rPr>
                <w:sz w:val="24"/>
                <w:szCs w:val="24"/>
              </w:rPr>
              <w:t>900</w:t>
            </w:r>
            <w:r w:rsidR="00CA68B3" w:rsidRPr="00ED1F80">
              <w:rPr>
                <w:sz w:val="24"/>
                <w:szCs w:val="24"/>
              </w:rPr>
              <w:t>,0</w:t>
            </w:r>
          </w:p>
        </w:tc>
      </w:tr>
      <w:tr w:rsidR="00ED1F80" w:rsidRPr="00ED1F80" w:rsidTr="008153EA">
        <w:trPr>
          <w:trHeight w:val="390"/>
        </w:trPr>
        <w:tc>
          <w:tcPr>
            <w:tcW w:w="5245" w:type="dxa"/>
          </w:tcPr>
          <w:p w:rsidR="00C9159F" w:rsidRPr="00ED1F80" w:rsidRDefault="00C9159F" w:rsidP="008153EA">
            <w:pPr>
              <w:pStyle w:val="aa"/>
              <w:rPr>
                <w:sz w:val="24"/>
                <w:szCs w:val="24"/>
              </w:rPr>
            </w:pPr>
          </w:p>
          <w:p w:rsidR="00C9159F" w:rsidRPr="00ED1F80" w:rsidRDefault="00C9159F" w:rsidP="008153EA">
            <w:pPr>
              <w:pStyle w:val="aa"/>
              <w:rPr>
                <w:sz w:val="24"/>
                <w:szCs w:val="24"/>
              </w:rPr>
            </w:pPr>
            <w:r w:rsidRPr="00ED1F80">
              <w:rPr>
                <w:sz w:val="24"/>
                <w:szCs w:val="24"/>
              </w:rPr>
              <w:t>- фізичними особами</w:t>
            </w:r>
          </w:p>
        </w:tc>
        <w:tc>
          <w:tcPr>
            <w:tcW w:w="4394" w:type="dxa"/>
            <w:vAlign w:val="center"/>
          </w:tcPr>
          <w:p w:rsidR="00C9159F" w:rsidRPr="00ED1F80" w:rsidRDefault="00C9159F" w:rsidP="00CA68B3">
            <w:pPr>
              <w:pStyle w:val="aa"/>
              <w:jc w:val="center"/>
              <w:rPr>
                <w:sz w:val="24"/>
                <w:szCs w:val="24"/>
              </w:rPr>
            </w:pPr>
            <w:r w:rsidRPr="00ED1F80">
              <w:rPr>
                <w:sz w:val="24"/>
                <w:szCs w:val="24"/>
              </w:rPr>
              <w:t>5807</w:t>
            </w:r>
            <w:r w:rsidR="00CA68B3" w:rsidRPr="00ED1F80">
              <w:rPr>
                <w:sz w:val="24"/>
                <w:szCs w:val="24"/>
              </w:rPr>
              <w:t>,0</w:t>
            </w:r>
          </w:p>
        </w:tc>
      </w:tr>
      <w:tr w:rsidR="00ED1F80" w:rsidRPr="00ED1F80" w:rsidTr="008153EA">
        <w:trPr>
          <w:trHeight w:val="423"/>
        </w:trPr>
        <w:tc>
          <w:tcPr>
            <w:tcW w:w="5245" w:type="dxa"/>
          </w:tcPr>
          <w:p w:rsidR="00C9159F" w:rsidRPr="00ED1F80" w:rsidRDefault="00C9159F" w:rsidP="008153EA">
            <w:pPr>
              <w:pStyle w:val="aa"/>
              <w:rPr>
                <w:sz w:val="24"/>
                <w:szCs w:val="24"/>
              </w:rPr>
            </w:pPr>
            <w:r w:rsidRPr="00ED1F80">
              <w:rPr>
                <w:sz w:val="24"/>
                <w:szCs w:val="24"/>
              </w:rPr>
              <w:t xml:space="preserve">Розмір коштів і час, що витрачатимуться суб’єктами господарювання у зв'язку з виконанням вимог </w:t>
            </w:r>
            <w:proofErr w:type="spellStart"/>
            <w:r w:rsidRPr="00ED1F80">
              <w:rPr>
                <w:sz w:val="24"/>
                <w:szCs w:val="24"/>
              </w:rPr>
              <w:t>акта</w:t>
            </w:r>
            <w:proofErr w:type="spellEnd"/>
            <w:r w:rsidRPr="00ED1F80">
              <w:rPr>
                <w:sz w:val="24"/>
                <w:szCs w:val="24"/>
              </w:rPr>
              <w:t>, (год. / грн.)*</w:t>
            </w:r>
          </w:p>
        </w:tc>
        <w:tc>
          <w:tcPr>
            <w:tcW w:w="4394" w:type="dxa"/>
            <w:vAlign w:val="center"/>
          </w:tcPr>
          <w:p w:rsidR="00C9159F" w:rsidRPr="00ED1F80" w:rsidRDefault="00CA68B3" w:rsidP="008153EA">
            <w:pPr>
              <w:pStyle w:val="aa"/>
              <w:jc w:val="center"/>
              <w:rPr>
                <w:sz w:val="24"/>
                <w:szCs w:val="24"/>
              </w:rPr>
            </w:pPr>
            <w:r w:rsidRPr="00ED1F80">
              <w:rPr>
                <w:sz w:val="24"/>
                <w:szCs w:val="24"/>
              </w:rPr>
              <w:t>-</w:t>
            </w:r>
          </w:p>
        </w:tc>
      </w:tr>
      <w:tr w:rsidR="00C9159F" w:rsidRPr="00ED1F80" w:rsidTr="008153EA">
        <w:tc>
          <w:tcPr>
            <w:tcW w:w="5245" w:type="dxa"/>
          </w:tcPr>
          <w:p w:rsidR="00C9159F" w:rsidRPr="00ED1F80" w:rsidRDefault="00C9159F" w:rsidP="008153EA">
            <w:pPr>
              <w:pStyle w:val="aa"/>
              <w:rPr>
                <w:sz w:val="24"/>
                <w:szCs w:val="24"/>
              </w:rPr>
            </w:pPr>
            <w:r w:rsidRPr="00ED1F80">
              <w:rPr>
                <w:sz w:val="24"/>
                <w:szCs w:val="24"/>
              </w:rPr>
              <w:t xml:space="preserve">Рівень поінформованості громади та суб’єктів господарювання з основних положень </w:t>
            </w:r>
            <w:proofErr w:type="spellStart"/>
            <w:r w:rsidRPr="00ED1F80">
              <w:rPr>
                <w:sz w:val="24"/>
                <w:szCs w:val="24"/>
              </w:rPr>
              <w:t>акта</w:t>
            </w:r>
            <w:proofErr w:type="spellEnd"/>
          </w:p>
        </w:tc>
        <w:tc>
          <w:tcPr>
            <w:tcW w:w="4394" w:type="dxa"/>
          </w:tcPr>
          <w:p w:rsidR="00C9159F" w:rsidRPr="00ED1F80" w:rsidRDefault="00C9159F" w:rsidP="008153EA">
            <w:pPr>
              <w:pStyle w:val="aa"/>
              <w:jc w:val="center"/>
              <w:rPr>
                <w:sz w:val="24"/>
                <w:szCs w:val="24"/>
              </w:rPr>
            </w:pPr>
            <w:r w:rsidRPr="00ED1F80">
              <w:rPr>
                <w:sz w:val="24"/>
                <w:szCs w:val="24"/>
              </w:rPr>
              <w:t>Високий</w:t>
            </w:r>
          </w:p>
        </w:tc>
      </w:tr>
    </w:tbl>
    <w:p w:rsidR="00C9159F" w:rsidRPr="00ED1F80" w:rsidRDefault="00C9159F" w:rsidP="00C9159F">
      <w:pPr>
        <w:jc w:val="both"/>
        <w:rPr>
          <w:rStyle w:val="2"/>
          <w:rFonts w:ascii="Times New Roman" w:hAnsi="Times New Roman"/>
          <w:lang w:val="uk-UA"/>
        </w:rPr>
      </w:pPr>
    </w:p>
    <w:p w:rsidR="00C9159F" w:rsidRPr="00ED1F80" w:rsidRDefault="00C9159F" w:rsidP="00C9159F">
      <w:pPr>
        <w:pStyle w:val="3"/>
        <w:spacing w:before="120" w:beforeAutospacing="0" w:after="0" w:afterAutospacing="0"/>
        <w:jc w:val="center"/>
        <w:rPr>
          <w:lang w:val="uk-UA"/>
        </w:rPr>
      </w:pPr>
      <w:r w:rsidRPr="00ED1F80">
        <w:rPr>
          <w:lang w:val="uk-UA"/>
        </w:rPr>
        <w:t xml:space="preserve">IX. Визначення заходів, за допомогою яких здійснюватиметься відстеження результативності дії регуляторного </w:t>
      </w:r>
      <w:proofErr w:type="spellStart"/>
      <w:r w:rsidRPr="00ED1F80">
        <w:rPr>
          <w:lang w:val="uk-UA"/>
        </w:rPr>
        <w:t>акта</w:t>
      </w:r>
      <w:proofErr w:type="spellEnd"/>
    </w:p>
    <w:p w:rsidR="00C9159F" w:rsidRPr="00ED1F80" w:rsidRDefault="00C9159F" w:rsidP="00C9159F">
      <w:pPr>
        <w:pStyle w:val="3"/>
        <w:spacing w:before="120" w:beforeAutospacing="0" w:after="0" w:afterAutospacing="0"/>
        <w:jc w:val="center"/>
        <w:rPr>
          <w:lang w:val="uk-UA"/>
        </w:rPr>
      </w:pPr>
    </w:p>
    <w:p w:rsidR="00C9159F" w:rsidRPr="00ED1F80" w:rsidRDefault="00C9159F" w:rsidP="00C9159F">
      <w:pPr>
        <w:pStyle w:val="1"/>
        <w:spacing w:line="235" w:lineRule="auto"/>
        <w:ind w:firstLine="360"/>
        <w:jc w:val="both"/>
        <w:rPr>
          <w:sz w:val="24"/>
          <w:szCs w:val="24"/>
          <w:lang w:val="uk-UA" w:eastAsia="uk-UA"/>
        </w:rPr>
      </w:pPr>
      <w:r w:rsidRPr="00ED1F80">
        <w:rPr>
          <w:sz w:val="24"/>
          <w:szCs w:val="24"/>
          <w:lang w:val="uk-UA"/>
        </w:rPr>
        <w:t xml:space="preserve">      Відстеження результативності дії </w:t>
      </w:r>
      <w:proofErr w:type="spellStart"/>
      <w:r w:rsidRPr="00ED1F80">
        <w:rPr>
          <w:sz w:val="24"/>
          <w:szCs w:val="24"/>
          <w:lang w:val="uk-UA"/>
        </w:rPr>
        <w:t>акта</w:t>
      </w:r>
      <w:proofErr w:type="spellEnd"/>
      <w:r w:rsidRPr="00ED1F80">
        <w:rPr>
          <w:sz w:val="24"/>
          <w:szCs w:val="24"/>
          <w:lang w:val="uk-UA"/>
        </w:rPr>
        <w:t xml:space="preserve"> буде здійснюватися в терміни, визначені Законом України </w:t>
      </w:r>
      <w:r w:rsidR="00765D89" w:rsidRPr="00ED1F80">
        <w:rPr>
          <w:sz w:val="24"/>
          <w:szCs w:val="24"/>
          <w:lang w:val="uk-UA"/>
        </w:rPr>
        <w:t>„</w:t>
      </w:r>
      <w:r w:rsidRPr="00ED1F80">
        <w:rPr>
          <w:sz w:val="24"/>
          <w:szCs w:val="24"/>
          <w:lang w:val="uk-UA"/>
        </w:rPr>
        <w:t>Про засади державної регуляторної політики у сфері господарської діяльності</w:t>
      </w:r>
      <w:r w:rsidR="00765D89" w:rsidRPr="00ED1F80">
        <w:rPr>
          <w:sz w:val="24"/>
          <w:szCs w:val="24"/>
          <w:lang w:val="uk-UA"/>
        </w:rPr>
        <w:t>”</w:t>
      </w:r>
      <w:r w:rsidRPr="00ED1F80">
        <w:rPr>
          <w:sz w:val="24"/>
          <w:szCs w:val="24"/>
          <w:lang w:val="uk-UA"/>
        </w:rPr>
        <w:t xml:space="preserve"> та відповідно до методики, затвердженої Постановою Кабінету Міністрів України від 11 березня 2004 року №308 </w:t>
      </w:r>
      <w:r w:rsidR="00765D89" w:rsidRPr="00ED1F80">
        <w:rPr>
          <w:sz w:val="24"/>
          <w:szCs w:val="24"/>
          <w:lang w:val="uk-UA"/>
        </w:rPr>
        <w:t>„</w:t>
      </w:r>
      <w:r w:rsidRPr="00ED1F80">
        <w:rPr>
          <w:sz w:val="24"/>
          <w:szCs w:val="24"/>
          <w:lang w:val="uk-UA"/>
        </w:rPr>
        <w:t xml:space="preserve">Про затвердження </w:t>
      </w:r>
      <w:proofErr w:type="spellStart"/>
      <w:r w:rsidRPr="00ED1F80">
        <w:rPr>
          <w:sz w:val="24"/>
          <w:szCs w:val="24"/>
          <w:lang w:val="uk-UA"/>
        </w:rPr>
        <w:t>методик</w:t>
      </w:r>
      <w:proofErr w:type="spellEnd"/>
      <w:r w:rsidRPr="00ED1F80">
        <w:rPr>
          <w:sz w:val="24"/>
          <w:szCs w:val="24"/>
          <w:lang w:val="uk-UA"/>
        </w:rPr>
        <w:t xml:space="preserve"> проведення аналізу впливу та відстеження результативності регуляторного </w:t>
      </w:r>
      <w:proofErr w:type="spellStart"/>
      <w:r w:rsidRPr="00ED1F80">
        <w:rPr>
          <w:sz w:val="24"/>
          <w:szCs w:val="24"/>
          <w:lang w:val="uk-UA"/>
        </w:rPr>
        <w:t>акта</w:t>
      </w:r>
      <w:proofErr w:type="spellEnd"/>
      <w:r w:rsidR="00765D89" w:rsidRPr="00ED1F80">
        <w:rPr>
          <w:sz w:val="24"/>
          <w:szCs w:val="24"/>
          <w:lang w:val="uk-UA"/>
        </w:rPr>
        <w:t>”</w:t>
      </w:r>
      <w:r w:rsidRPr="00ED1F80">
        <w:rPr>
          <w:sz w:val="24"/>
          <w:szCs w:val="24"/>
          <w:lang w:val="uk-UA"/>
        </w:rPr>
        <w:t>, зі змінами:</w:t>
      </w:r>
    </w:p>
    <w:p w:rsidR="00C9053E" w:rsidRPr="00ED1F80" w:rsidRDefault="00C9159F" w:rsidP="004051F9">
      <w:pPr>
        <w:pStyle w:val="a7"/>
        <w:numPr>
          <w:ilvl w:val="0"/>
          <w:numId w:val="2"/>
        </w:numPr>
        <w:ind w:left="0" w:firstLine="426"/>
        <w:rPr>
          <w:sz w:val="24"/>
          <w:lang w:eastAsia="en-US"/>
        </w:rPr>
      </w:pPr>
      <w:r w:rsidRPr="00ED1F80">
        <w:rPr>
          <w:sz w:val="24"/>
        </w:rPr>
        <w:t>базове відстеження буде проводитися до дня набуття чинності</w:t>
      </w:r>
      <w:r w:rsidR="00C9053E" w:rsidRPr="00ED1F80">
        <w:rPr>
          <w:sz w:val="24"/>
        </w:rPr>
        <w:t xml:space="preserve"> </w:t>
      </w:r>
      <w:r w:rsidRPr="00ED1F80">
        <w:rPr>
          <w:sz w:val="24"/>
        </w:rPr>
        <w:t xml:space="preserve">регуляторним актом з метою оцінки стану суспільних відносин, на врегулювання яких спрямована дія </w:t>
      </w:r>
      <w:proofErr w:type="spellStart"/>
      <w:r w:rsidRPr="00ED1F80">
        <w:rPr>
          <w:sz w:val="24"/>
        </w:rPr>
        <w:t>акта</w:t>
      </w:r>
      <w:proofErr w:type="spellEnd"/>
      <w:r w:rsidRPr="00ED1F80">
        <w:rPr>
          <w:sz w:val="24"/>
        </w:rPr>
        <w:t>;</w:t>
      </w:r>
    </w:p>
    <w:p w:rsidR="00C9159F" w:rsidRPr="00ED1F80" w:rsidRDefault="00C9159F" w:rsidP="004051F9">
      <w:pPr>
        <w:pStyle w:val="a7"/>
        <w:numPr>
          <w:ilvl w:val="0"/>
          <w:numId w:val="2"/>
        </w:numPr>
        <w:ind w:left="0" w:firstLine="426"/>
        <w:rPr>
          <w:sz w:val="24"/>
          <w:lang w:eastAsia="en-US"/>
        </w:rPr>
      </w:pPr>
      <w:r w:rsidRPr="00ED1F80">
        <w:rPr>
          <w:sz w:val="24"/>
        </w:rPr>
        <w:t>повторне відстеження буде проводитися за три місяці до дня</w:t>
      </w:r>
      <w:r w:rsidR="00C9053E" w:rsidRPr="00ED1F80">
        <w:rPr>
          <w:sz w:val="24"/>
        </w:rPr>
        <w:t xml:space="preserve"> </w:t>
      </w:r>
      <w:r w:rsidRPr="00ED1F80">
        <w:rPr>
          <w:sz w:val="24"/>
        </w:rPr>
        <w:t>закінчення</w:t>
      </w:r>
      <w:r w:rsidRPr="00ED1F80">
        <w:rPr>
          <w:sz w:val="24"/>
          <w:lang w:eastAsia="en-US"/>
        </w:rPr>
        <w:t xml:space="preserve"> </w:t>
      </w:r>
      <w:r w:rsidRPr="00ED1F80">
        <w:rPr>
          <w:sz w:val="24"/>
        </w:rPr>
        <w:t xml:space="preserve">визначеного строку, але не пізніше дня закінчення визначеного строку з метою оцінки ступеня досягнення актом визначених цілей, тобто встановлення ставок податку на нерухоме майно, відмінне від земельної ділянки, відповідно до вимог Кодексу.   </w:t>
      </w:r>
    </w:p>
    <w:p w:rsidR="00C9159F" w:rsidRPr="00ED1F80" w:rsidRDefault="00C9159F" w:rsidP="00C9159F">
      <w:pPr>
        <w:pStyle w:val="a7"/>
        <w:spacing w:line="235" w:lineRule="auto"/>
        <w:ind w:firstLine="708"/>
        <w:rPr>
          <w:sz w:val="24"/>
          <w:lang w:eastAsia="en-US"/>
        </w:rPr>
      </w:pPr>
      <w:r w:rsidRPr="00ED1F80">
        <w:rPr>
          <w:sz w:val="24"/>
        </w:rPr>
        <w:t xml:space="preserve">Відстеження результативності дії </w:t>
      </w:r>
      <w:proofErr w:type="spellStart"/>
      <w:r w:rsidRPr="00ED1F80">
        <w:rPr>
          <w:sz w:val="24"/>
        </w:rPr>
        <w:t>акта</w:t>
      </w:r>
      <w:proofErr w:type="spellEnd"/>
      <w:r w:rsidRPr="00ED1F80">
        <w:rPr>
          <w:sz w:val="24"/>
        </w:rPr>
        <w:t xml:space="preserve"> буде здійснюватися відповідальними за підготовку – спеціалістами із земельних питань Рахівської міської ради шляхом аналізу статистичних даних щодо чисельності платників податку та надходження коштів до </w:t>
      </w:r>
      <w:r w:rsidRPr="00ED1F80">
        <w:rPr>
          <w:sz w:val="24"/>
        </w:rPr>
        <w:lastRenderedPageBreak/>
        <w:t xml:space="preserve">бюджету міста, наданих </w:t>
      </w:r>
      <w:r w:rsidRPr="00ED1F80">
        <w:rPr>
          <w:bCs/>
          <w:sz w:val="24"/>
        </w:rPr>
        <w:t xml:space="preserve">Рахівським управлінням ГУ ДПС у Закарпатській області </w:t>
      </w:r>
      <w:r w:rsidRPr="00ED1F80">
        <w:rPr>
          <w:sz w:val="24"/>
        </w:rPr>
        <w:t xml:space="preserve">розробникам регуляторного </w:t>
      </w:r>
      <w:proofErr w:type="spellStart"/>
      <w:r w:rsidRPr="00ED1F80">
        <w:rPr>
          <w:sz w:val="24"/>
        </w:rPr>
        <w:t>акта</w:t>
      </w:r>
      <w:proofErr w:type="spellEnd"/>
      <w:r w:rsidRPr="00ED1F80">
        <w:rPr>
          <w:sz w:val="24"/>
        </w:rPr>
        <w:t xml:space="preserve">, та на підставі консультацій з представниками консультативно-дорадчих органів щодо розміру коштів і часу суб’єктів господарювання на виконання вимог регулювання. </w:t>
      </w:r>
    </w:p>
    <w:p w:rsidR="00C9159F" w:rsidRPr="00ED1F80" w:rsidRDefault="00C9159F" w:rsidP="00C9159F">
      <w:pPr>
        <w:pStyle w:val="HTML"/>
        <w:spacing w:line="235" w:lineRule="auto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ED1F80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         Аналіз регуляторного </w:t>
      </w:r>
      <w:proofErr w:type="spellStart"/>
      <w:r w:rsidRPr="00ED1F80">
        <w:rPr>
          <w:rFonts w:ascii="Times New Roman" w:hAnsi="Times New Roman" w:cs="Times New Roman"/>
          <w:sz w:val="24"/>
          <w:szCs w:val="24"/>
          <w:lang w:val="uk-UA" w:eastAsia="en-US"/>
        </w:rPr>
        <w:t>акта</w:t>
      </w:r>
      <w:proofErr w:type="spellEnd"/>
      <w:r w:rsidRPr="00ED1F80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розроблений у відповідності до статей 4, 8 Закону України </w:t>
      </w:r>
      <w:r w:rsidR="00C9053E" w:rsidRPr="00ED1F80">
        <w:rPr>
          <w:rFonts w:ascii="Times New Roman" w:hAnsi="Times New Roman" w:cs="Times New Roman"/>
          <w:sz w:val="24"/>
          <w:szCs w:val="24"/>
          <w:lang w:val="uk-UA" w:eastAsia="en-US"/>
        </w:rPr>
        <w:t>„</w:t>
      </w:r>
      <w:r w:rsidRPr="00ED1F80">
        <w:rPr>
          <w:rFonts w:ascii="Times New Roman" w:hAnsi="Times New Roman" w:cs="Times New Roman"/>
          <w:sz w:val="24"/>
          <w:szCs w:val="24"/>
          <w:lang w:val="uk-UA" w:eastAsia="en-US"/>
        </w:rPr>
        <w:t>Про засади державної регуляторної політики у сфері господарської діяльності» з урахуванням вимог Постанови Кабінету Міністрів України</w:t>
      </w:r>
      <w:r w:rsidR="005C5C3B" w:rsidRPr="00ED1F80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від 11 березня 2004 року №308 „</w:t>
      </w:r>
      <w:r w:rsidRPr="00ED1F80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Про затвердження </w:t>
      </w:r>
      <w:proofErr w:type="spellStart"/>
      <w:r w:rsidRPr="00ED1F80">
        <w:rPr>
          <w:rFonts w:ascii="Times New Roman" w:hAnsi="Times New Roman" w:cs="Times New Roman"/>
          <w:sz w:val="24"/>
          <w:szCs w:val="24"/>
          <w:lang w:val="uk-UA" w:eastAsia="en-US"/>
        </w:rPr>
        <w:t>методик</w:t>
      </w:r>
      <w:proofErr w:type="spellEnd"/>
      <w:r w:rsidRPr="00ED1F80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проведення аналізу впливу та відстеження результативності регуляторного </w:t>
      </w:r>
      <w:proofErr w:type="spellStart"/>
      <w:r w:rsidRPr="00ED1F80">
        <w:rPr>
          <w:rFonts w:ascii="Times New Roman" w:hAnsi="Times New Roman" w:cs="Times New Roman"/>
          <w:sz w:val="24"/>
          <w:szCs w:val="24"/>
          <w:lang w:val="uk-UA" w:eastAsia="en-US"/>
        </w:rPr>
        <w:t>акта</w:t>
      </w:r>
      <w:proofErr w:type="spellEnd"/>
      <w:r w:rsidR="005C5C3B" w:rsidRPr="00ED1F80">
        <w:rPr>
          <w:rFonts w:ascii="Times New Roman" w:hAnsi="Times New Roman" w:cs="Times New Roman"/>
          <w:sz w:val="24"/>
          <w:szCs w:val="24"/>
          <w:lang w:val="uk-UA" w:eastAsia="en-US"/>
        </w:rPr>
        <w:t>”</w:t>
      </w:r>
      <w:r w:rsidRPr="00ED1F80">
        <w:rPr>
          <w:rFonts w:ascii="Times New Roman" w:hAnsi="Times New Roman" w:cs="Times New Roman"/>
          <w:sz w:val="24"/>
          <w:szCs w:val="24"/>
          <w:lang w:val="uk-UA" w:eastAsia="en-US"/>
        </w:rPr>
        <w:t>, зі змінами.</w:t>
      </w:r>
    </w:p>
    <w:p w:rsidR="00C9159F" w:rsidRPr="00ED1F80" w:rsidRDefault="00C9159F" w:rsidP="00C9159F">
      <w:pPr>
        <w:pStyle w:val="HTML"/>
        <w:spacing w:line="235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1F80">
        <w:rPr>
          <w:rFonts w:ascii="Times New Roman" w:hAnsi="Times New Roman" w:cs="Times New Roman"/>
          <w:sz w:val="24"/>
          <w:szCs w:val="24"/>
          <w:lang w:val="uk-UA"/>
        </w:rPr>
        <w:t xml:space="preserve">         Зворотний зв’язок:</w:t>
      </w:r>
    </w:p>
    <w:p w:rsidR="00C9159F" w:rsidRPr="00ED1F80" w:rsidRDefault="00C9159F" w:rsidP="00C9159F">
      <w:pPr>
        <w:pStyle w:val="1"/>
        <w:numPr>
          <w:ilvl w:val="0"/>
          <w:numId w:val="2"/>
        </w:numPr>
        <w:spacing w:line="235" w:lineRule="auto"/>
        <w:jc w:val="both"/>
        <w:rPr>
          <w:sz w:val="24"/>
          <w:szCs w:val="24"/>
          <w:lang w:val="uk-UA"/>
        </w:rPr>
      </w:pPr>
      <w:r w:rsidRPr="00ED1F80">
        <w:rPr>
          <w:sz w:val="24"/>
          <w:szCs w:val="24"/>
          <w:lang w:val="uk-UA"/>
        </w:rPr>
        <w:t xml:space="preserve">поштова адреса: вул. Миру, </w:t>
      </w:r>
      <w:smartTag w:uri="urn:schemas-microsoft-com:office:smarttags" w:element="metricconverter">
        <w:smartTagPr>
          <w:attr w:name="ProductID" w:val="34, м"/>
        </w:smartTagPr>
        <w:r w:rsidRPr="00ED1F80">
          <w:rPr>
            <w:sz w:val="24"/>
            <w:szCs w:val="24"/>
            <w:lang w:val="uk-UA"/>
          </w:rPr>
          <w:t>34, м</w:t>
        </w:r>
      </w:smartTag>
      <w:r w:rsidRPr="00ED1F80">
        <w:rPr>
          <w:sz w:val="24"/>
          <w:szCs w:val="24"/>
          <w:lang w:val="uk-UA"/>
        </w:rPr>
        <w:t xml:space="preserve">. Рахів, 90600,  Рахівська міська рада, другий поверх кабінет №7. </w:t>
      </w:r>
    </w:p>
    <w:p w:rsidR="00C9159F" w:rsidRPr="00ED1F80" w:rsidRDefault="00C9159F" w:rsidP="00C9159F">
      <w:pPr>
        <w:pStyle w:val="1"/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 w:rsidRPr="00ED1F80">
        <w:rPr>
          <w:sz w:val="24"/>
          <w:szCs w:val="24"/>
          <w:lang w:val="uk-UA"/>
        </w:rPr>
        <w:t xml:space="preserve">електронна адреса: </w:t>
      </w:r>
      <w:r w:rsidRPr="00ED1F80">
        <w:rPr>
          <w:sz w:val="24"/>
          <w:szCs w:val="24"/>
          <w:u w:val="single"/>
          <w:lang w:val="uk-UA"/>
        </w:rPr>
        <w:t>rada@rakhiv-mr.org</w:t>
      </w:r>
    </w:p>
    <w:p w:rsidR="00C9159F" w:rsidRPr="00ED1F80" w:rsidRDefault="00C9159F" w:rsidP="00C915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9159F" w:rsidRPr="00ED1F80" w:rsidRDefault="00C9159F" w:rsidP="00C915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36689" w:rsidRPr="00ED1F80" w:rsidRDefault="005C5C3B" w:rsidP="005C5C3B">
      <w:pPr>
        <w:pStyle w:val="a3"/>
        <w:jc w:val="both"/>
        <w:rPr>
          <w:b/>
          <w:lang w:val="uk-UA"/>
        </w:rPr>
      </w:pPr>
      <w:r w:rsidRPr="00ED1F80">
        <w:rPr>
          <w:b/>
          <w:lang w:val="uk-UA"/>
        </w:rPr>
        <w:t>Міський голова</w:t>
      </w:r>
      <w:r w:rsidRPr="00ED1F80">
        <w:rPr>
          <w:b/>
          <w:lang w:val="uk-UA"/>
        </w:rPr>
        <w:tab/>
      </w:r>
      <w:r w:rsidRPr="00ED1F80">
        <w:rPr>
          <w:b/>
          <w:lang w:val="uk-UA"/>
        </w:rPr>
        <w:tab/>
      </w:r>
      <w:r w:rsidRPr="00ED1F80">
        <w:rPr>
          <w:b/>
          <w:lang w:val="uk-UA"/>
        </w:rPr>
        <w:tab/>
      </w:r>
      <w:r w:rsidRPr="00ED1F80">
        <w:rPr>
          <w:b/>
          <w:lang w:val="uk-UA"/>
        </w:rPr>
        <w:tab/>
      </w:r>
      <w:r w:rsidRPr="00ED1F80">
        <w:rPr>
          <w:b/>
          <w:lang w:val="uk-UA"/>
        </w:rPr>
        <w:tab/>
      </w:r>
      <w:r w:rsidRPr="00ED1F80">
        <w:rPr>
          <w:b/>
          <w:lang w:val="uk-UA"/>
        </w:rPr>
        <w:tab/>
      </w:r>
      <w:r w:rsidRPr="00ED1F80">
        <w:rPr>
          <w:b/>
          <w:lang w:val="uk-UA"/>
        </w:rPr>
        <w:tab/>
      </w:r>
      <w:r w:rsidRPr="00ED1F80">
        <w:rPr>
          <w:b/>
          <w:lang w:val="uk-UA"/>
        </w:rPr>
        <w:tab/>
      </w:r>
      <w:r w:rsidRPr="00ED1F80">
        <w:rPr>
          <w:b/>
          <w:lang w:val="uk-UA"/>
        </w:rPr>
        <w:tab/>
        <w:t>В.МЕДВІДЬ</w:t>
      </w:r>
    </w:p>
    <w:sectPr w:rsidR="00236689" w:rsidRPr="00ED1F80" w:rsidSect="00DE0235">
      <w:pgSz w:w="11906" w:h="16838"/>
      <w:pgMar w:top="54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7174"/>
    <w:multiLevelType w:val="hybridMultilevel"/>
    <w:tmpl w:val="D70C855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A3563F"/>
    <w:multiLevelType w:val="hybridMultilevel"/>
    <w:tmpl w:val="F5E27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9F"/>
    <w:rsid w:val="00027A1F"/>
    <w:rsid w:val="000A6101"/>
    <w:rsid w:val="000E2F5D"/>
    <w:rsid w:val="00236689"/>
    <w:rsid w:val="00253542"/>
    <w:rsid w:val="00357BC4"/>
    <w:rsid w:val="004C2631"/>
    <w:rsid w:val="004F61AA"/>
    <w:rsid w:val="005C5C3B"/>
    <w:rsid w:val="00667251"/>
    <w:rsid w:val="00765D89"/>
    <w:rsid w:val="007A0A8D"/>
    <w:rsid w:val="00886273"/>
    <w:rsid w:val="00A36DCB"/>
    <w:rsid w:val="00A422BF"/>
    <w:rsid w:val="00AB78C7"/>
    <w:rsid w:val="00B521CC"/>
    <w:rsid w:val="00C5542E"/>
    <w:rsid w:val="00C9053E"/>
    <w:rsid w:val="00C9159F"/>
    <w:rsid w:val="00CA68B3"/>
    <w:rsid w:val="00DD4C88"/>
    <w:rsid w:val="00E85145"/>
    <w:rsid w:val="00ED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76BBBD"/>
  <w15:chartTrackingRefBased/>
  <w15:docId w15:val="{7863000F-3B49-4A41-BDBE-7AD248E8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59F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3">
    <w:name w:val="heading 3"/>
    <w:basedOn w:val="a"/>
    <w:link w:val="30"/>
    <w:uiPriority w:val="9"/>
    <w:qFormat/>
    <w:rsid w:val="00C915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159F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customStyle="1" w:styleId="rvps12">
    <w:name w:val="rvps12"/>
    <w:basedOn w:val="a"/>
    <w:rsid w:val="00C915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C915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Стиль2"/>
    <w:basedOn w:val="a4"/>
    <w:rsid w:val="00C9159F"/>
  </w:style>
  <w:style w:type="paragraph" w:styleId="a5">
    <w:name w:val="Title"/>
    <w:basedOn w:val="a"/>
    <w:link w:val="a6"/>
    <w:qFormat/>
    <w:rsid w:val="00C9159F"/>
    <w:pPr>
      <w:spacing w:after="0" w:line="240" w:lineRule="auto"/>
      <w:jc w:val="center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6">
    <w:name w:val="Назва Знак"/>
    <w:basedOn w:val="a0"/>
    <w:link w:val="a5"/>
    <w:rsid w:val="00C9159F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rvts10">
    <w:name w:val="rvts10"/>
    <w:basedOn w:val="a0"/>
    <w:rsid w:val="00C9159F"/>
  </w:style>
  <w:style w:type="paragraph" w:styleId="a7">
    <w:name w:val="Body Text"/>
    <w:basedOn w:val="a"/>
    <w:link w:val="a8"/>
    <w:rsid w:val="00C9159F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uk-UA" w:eastAsia="ru-RU"/>
    </w:rPr>
  </w:style>
  <w:style w:type="character" w:customStyle="1" w:styleId="a8">
    <w:name w:val="Основний текст Знак"/>
    <w:basedOn w:val="a0"/>
    <w:link w:val="a7"/>
    <w:rsid w:val="00C915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Назва документа"/>
    <w:basedOn w:val="a"/>
    <w:next w:val="a"/>
    <w:rsid w:val="00C9159F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C915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C9159F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a">
    <w:name w:val="No Spacing"/>
    <w:link w:val="ab"/>
    <w:uiPriority w:val="99"/>
    <w:qFormat/>
    <w:rsid w:val="00C9159F"/>
    <w:pPr>
      <w:suppressAutoHyphens/>
      <w:spacing w:after="0" w:line="240" w:lineRule="auto"/>
      <w:jc w:val="both"/>
    </w:pPr>
    <w:rPr>
      <w:rFonts w:ascii="Times New Roman" w:eastAsia="Calibri" w:hAnsi="Times New Roman" w:cs="Calibri"/>
      <w:sz w:val="28"/>
      <w:lang w:eastAsia="ar-SA"/>
    </w:rPr>
  </w:style>
  <w:style w:type="character" w:customStyle="1" w:styleId="ab">
    <w:name w:val="Без інтервалів Знак"/>
    <w:link w:val="aa"/>
    <w:uiPriority w:val="99"/>
    <w:locked/>
    <w:rsid w:val="00C9159F"/>
    <w:rPr>
      <w:rFonts w:ascii="Times New Roman" w:eastAsia="Calibri" w:hAnsi="Times New Roman" w:cs="Calibri"/>
      <w:sz w:val="28"/>
      <w:lang w:eastAsia="ar-SA"/>
    </w:rPr>
  </w:style>
  <w:style w:type="paragraph" w:customStyle="1" w:styleId="1">
    <w:name w:val="Без інтервалів1"/>
    <w:link w:val="NoSpacingChar"/>
    <w:qFormat/>
    <w:rsid w:val="00C9159F"/>
    <w:pPr>
      <w:spacing w:after="0" w:line="240" w:lineRule="auto"/>
    </w:pPr>
    <w:rPr>
      <w:rFonts w:ascii="Times New Roman" w:eastAsia="Times New Roman" w:hAnsi="Times New Roman" w:cs="Times New Roman"/>
      <w:szCs w:val="20"/>
      <w:lang w:val="ru-RU" w:eastAsia="ru-RU"/>
    </w:rPr>
  </w:style>
  <w:style w:type="character" w:customStyle="1" w:styleId="NoSpacingChar">
    <w:name w:val="No Spacing Char"/>
    <w:link w:val="1"/>
    <w:locked/>
    <w:rsid w:val="00C9159F"/>
    <w:rPr>
      <w:rFonts w:ascii="Times New Roman" w:eastAsia="Times New Roman" w:hAnsi="Times New Roman" w:cs="Times New Roman"/>
      <w:szCs w:val="20"/>
      <w:lang w:val="ru-RU" w:eastAsia="ru-RU"/>
    </w:rPr>
  </w:style>
  <w:style w:type="character" w:styleId="a4">
    <w:name w:val="line number"/>
    <w:basedOn w:val="a0"/>
    <w:uiPriority w:val="99"/>
    <w:semiHidden/>
    <w:unhideWhenUsed/>
    <w:rsid w:val="00C9159F"/>
  </w:style>
  <w:style w:type="paragraph" w:styleId="ac">
    <w:name w:val="Balloon Text"/>
    <w:basedOn w:val="a"/>
    <w:link w:val="ad"/>
    <w:uiPriority w:val="99"/>
    <w:semiHidden/>
    <w:unhideWhenUsed/>
    <w:rsid w:val="00667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667251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9877</Words>
  <Characters>5630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Comp2</cp:lastModifiedBy>
  <cp:revision>12</cp:revision>
  <cp:lastPrinted>2022-05-13T06:34:00Z</cp:lastPrinted>
  <dcterms:created xsi:type="dcterms:W3CDTF">2021-04-16T08:48:00Z</dcterms:created>
  <dcterms:modified xsi:type="dcterms:W3CDTF">2022-05-13T06:48:00Z</dcterms:modified>
</cp:coreProperties>
</file>