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56" w:rsidRPr="00153EF9" w:rsidRDefault="00401656" w:rsidP="00401656">
      <w:pPr>
        <w:suppressAutoHyphens w:val="0"/>
        <w:rPr>
          <w:rFonts w:eastAsia="Calibri"/>
          <w:color w:val="000000" w:themeColor="text1"/>
          <w:sz w:val="28"/>
          <w:szCs w:val="28"/>
          <w:lang w:val="uk-UA" w:eastAsia="en-US"/>
        </w:rPr>
      </w:pPr>
      <w:r w:rsidRPr="00153EF9">
        <w:rPr>
          <w:noProof/>
          <w:lang w:val="uk-UA" w:eastAsia="uk-UA"/>
        </w:rPr>
        <w:drawing>
          <wp:anchor distT="0" distB="0" distL="114300" distR="114300" simplePos="0" relativeHeight="251659264" behindDoc="1" locked="0" layoutInCell="1" allowOverlap="1" wp14:anchorId="12AE8D19" wp14:editId="4D67A9D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01656" w:rsidRPr="00153EF9" w:rsidRDefault="00401656" w:rsidP="00401656">
      <w:pPr>
        <w:suppressAutoHyphens w:val="0"/>
        <w:jc w:val="right"/>
        <w:rPr>
          <w:rFonts w:eastAsia="Calibri"/>
          <w:color w:val="000000" w:themeColor="text1"/>
          <w:sz w:val="28"/>
          <w:szCs w:val="28"/>
          <w:lang w:val="uk-UA" w:eastAsia="en-US"/>
        </w:rPr>
      </w:pPr>
    </w:p>
    <w:p w:rsidR="00401656" w:rsidRPr="00153EF9" w:rsidRDefault="00401656" w:rsidP="00401656">
      <w:pPr>
        <w:suppressAutoHyphens w:val="0"/>
        <w:jc w:val="center"/>
        <w:rPr>
          <w:rFonts w:eastAsia="Calibri"/>
          <w:color w:val="000000" w:themeColor="text1"/>
          <w:sz w:val="28"/>
          <w:szCs w:val="28"/>
          <w:lang w:val="uk-UA" w:eastAsia="en-US"/>
        </w:rPr>
      </w:pPr>
      <w:r w:rsidRPr="00153EF9">
        <w:rPr>
          <w:rFonts w:eastAsia="Calibri"/>
          <w:color w:val="000000" w:themeColor="text1"/>
          <w:sz w:val="28"/>
          <w:szCs w:val="28"/>
          <w:lang w:val="uk-UA" w:eastAsia="en-US"/>
        </w:rPr>
        <w:br w:type="textWrapping" w:clear="all"/>
        <w:t xml:space="preserve">У К Р А Ї Н А </w:t>
      </w:r>
    </w:p>
    <w:p w:rsidR="00401656" w:rsidRPr="00153EF9" w:rsidRDefault="00401656" w:rsidP="00401656">
      <w:pPr>
        <w:suppressAutoHyphens w:val="0"/>
        <w:jc w:val="center"/>
        <w:rPr>
          <w:rFonts w:eastAsia="Calibri"/>
          <w:color w:val="000000" w:themeColor="text1"/>
          <w:sz w:val="28"/>
          <w:szCs w:val="28"/>
          <w:lang w:val="uk-UA" w:eastAsia="en-US"/>
        </w:rPr>
      </w:pPr>
      <w:r w:rsidRPr="00153EF9">
        <w:rPr>
          <w:rFonts w:eastAsia="Calibri"/>
          <w:color w:val="000000" w:themeColor="text1"/>
          <w:sz w:val="28"/>
          <w:szCs w:val="28"/>
          <w:lang w:val="uk-UA" w:eastAsia="en-US"/>
        </w:rPr>
        <w:t xml:space="preserve">Р А Х І В С Ь К А  М І С Ь К А  Р А Д А </w:t>
      </w:r>
    </w:p>
    <w:p w:rsidR="00401656" w:rsidRPr="00153EF9" w:rsidRDefault="00401656" w:rsidP="00401656">
      <w:pPr>
        <w:suppressAutoHyphens w:val="0"/>
        <w:jc w:val="center"/>
        <w:rPr>
          <w:rFonts w:eastAsia="Calibri"/>
          <w:color w:val="000000" w:themeColor="text1"/>
          <w:sz w:val="28"/>
          <w:szCs w:val="28"/>
          <w:lang w:val="uk-UA" w:eastAsia="en-US"/>
        </w:rPr>
      </w:pPr>
      <w:r w:rsidRPr="00153EF9">
        <w:rPr>
          <w:rFonts w:eastAsia="Calibri"/>
          <w:color w:val="000000" w:themeColor="text1"/>
          <w:sz w:val="28"/>
          <w:szCs w:val="28"/>
          <w:lang w:val="uk-UA" w:eastAsia="en-US"/>
        </w:rPr>
        <w:t xml:space="preserve">Р А Х І В С Ь К О Г О  Р А Й О Н У  </w:t>
      </w:r>
    </w:p>
    <w:p w:rsidR="00401656" w:rsidRPr="00153EF9" w:rsidRDefault="00401656" w:rsidP="00401656">
      <w:pPr>
        <w:suppressAutoHyphens w:val="0"/>
        <w:jc w:val="center"/>
        <w:rPr>
          <w:rFonts w:eastAsia="Calibri"/>
          <w:color w:val="000000" w:themeColor="text1"/>
          <w:sz w:val="28"/>
          <w:szCs w:val="28"/>
          <w:lang w:val="uk-UA" w:eastAsia="en-US"/>
        </w:rPr>
      </w:pPr>
      <w:r w:rsidRPr="00153EF9">
        <w:rPr>
          <w:rFonts w:eastAsia="Calibri"/>
          <w:color w:val="000000" w:themeColor="text1"/>
          <w:sz w:val="28"/>
          <w:szCs w:val="28"/>
          <w:lang w:val="uk-UA" w:eastAsia="en-US"/>
        </w:rPr>
        <w:t>З А К А Р П А Т С Ь К О Ї  О Б Л А С Т І</w:t>
      </w:r>
    </w:p>
    <w:p w:rsidR="00401656" w:rsidRPr="00153EF9" w:rsidRDefault="00401656" w:rsidP="00401656">
      <w:pPr>
        <w:suppressAutoHyphens w:val="0"/>
        <w:jc w:val="center"/>
        <w:rPr>
          <w:rFonts w:eastAsia="Calibri"/>
          <w:b/>
          <w:color w:val="000000" w:themeColor="text1"/>
          <w:sz w:val="28"/>
          <w:szCs w:val="28"/>
          <w:lang w:val="uk-UA" w:eastAsia="en-US"/>
        </w:rPr>
      </w:pPr>
      <w:r w:rsidRPr="00153EF9">
        <w:rPr>
          <w:rFonts w:eastAsia="Calibri"/>
          <w:b/>
          <w:color w:val="000000" w:themeColor="text1"/>
          <w:sz w:val="28"/>
          <w:szCs w:val="28"/>
          <w:lang w:val="uk-UA" w:eastAsia="en-US"/>
        </w:rPr>
        <w:t>___ сесія восьмого скликання</w:t>
      </w:r>
    </w:p>
    <w:p w:rsidR="00401656" w:rsidRPr="00153EF9" w:rsidRDefault="00401656" w:rsidP="00401656">
      <w:pPr>
        <w:suppressAutoHyphens w:val="0"/>
        <w:rPr>
          <w:rFonts w:eastAsia="Calibri"/>
          <w:color w:val="000000" w:themeColor="text1"/>
          <w:sz w:val="28"/>
          <w:szCs w:val="28"/>
          <w:lang w:val="uk-UA" w:eastAsia="en-US"/>
        </w:rPr>
      </w:pPr>
    </w:p>
    <w:p w:rsidR="00401656" w:rsidRPr="00153EF9" w:rsidRDefault="00401656" w:rsidP="00401656">
      <w:pPr>
        <w:suppressAutoHyphens w:val="0"/>
        <w:jc w:val="center"/>
        <w:rPr>
          <w:rFonts w:eastAsia="Calibri"/>
          <w:color w:val="000000" w:themeColor="text1"/>
          <w:sz w:val="28"/>
          <w:szCs w:val="28"/>
          <w:lang w:val="uk-UA" w:eastAsia="en-US"/>
        </w:rPr>
      </w:pPr>
      <w:r w:rsidRPr="00153EF9">
        <w:rPr>
          <w:rFonts w:eastAsia="Calibri"/>
          <w:color w:val="000000" w:themeColor="text1"/>
          <w:sz w:val="28"/>
          <w:szCs w:val="28"/>
          <w:lang w:val="uk-UA" w:eastAsia="en-US"/>
        </w:rPr>
        <w:t xml:space="preserve">Р І Ш Е Н </w:t>
      </w:r>
      <w:proofErr w:type="spellStart"/>
      <w:r w:rsidRPr="00153EF9">
        <w:rPr>
          <w:rFonts w:eastAsia="Calibri"/>
          <w:color w:val="000000" w:themeColor="text1"/>
          <w:sz w:val="28"/>
          <w:szCs w:val="28"/>
          <w:lang w:val="uk-UA" w:eastAsia="en-US"/>
        </w:rPr>
        <w:t>Н</w:t>
      </w:r>
      <w:proofErr w:type="spellEnd"/>
      <w:r w:rsidRPr="00153EF9">
        <w:rPr>
          <w:rFonts w:eastAsia="Calibri"/>
          <w:color w:val="000000" w:themeColor="text1"/>
          <w:sz w:val="28"/>
          <w:szCs w:val="28"/>
          <w:lang w:val="uk-UA" w:eastAsia="en-US"/>
        </w:rPr>
        <w:t xml:space="preserve"> Я</w:t>
      </w:r>
    </w:p>
    <w:p w:rsidR="00401656" w:rsidRPr="00153EF9" w:rsidRDefault="00401656" w:rsidP="00401656">
      <w:pPr>
        <w:suppressAutoHyphens w:val="0"/>
        <w:rPr>
          <w:rFonts w:eastAsia="Calibri"/>
          <w:color w:val="000000" w:themeColor="text1"/>
          <w:sz w:val="28"/>
          <w:szCs w:val="28"/>
          <w:lang w:val="uk-UA" w:eastAsia="en-US"/>
        </w:rPr>
      </w:pPr>
    </w:p>
    <w:p w:rsidR="00401656" w:rsidRPr="00153EF9" w:rsidRDefault="00401656" w:rsidP="00401656">
      <w:pPr>
        <w:rPr>
          <w:color w:val="000000" w:themeColor="text1"/>
          <w:sz w:val="28"/>
          <w:szCs w:val="28"/>
          <w:lang w:val="uk-UA"/>
        </w:rPr>
      </w:pPr>
      <w:r w:rsidRPr="00153EF9">
        <w:rPr>
          <w:color w:val="000000" w:themeColor="text1"/>
          <w:sz w:val="28"/>
          <w:szCs w:val="28"/>
          <w:lang w:val="uk-UA"/>
        </w:rPr>
        <w:t xml:space="preserve">від _________ 2021  року  </w:t>
      </w:r>
      <w:r w:rsidRPr="00153EF9">
        <w:rPr>
          <w:color w:val="000000" w:themeColor="text1"/>
          <w:sz w:val="28"/>
          <w:szCs w:val="28"/>
          <w:lang w:val="uk-UA"/>
        </w:rPr>
        <w:tab/>
      </w:r>
      <w:r w:rsidRPr="00153EF9">
        <w:rPr>
          <w:color w:val="000000" w:themeColor="text1"/>
          <w:sz w:val="28"/>
          <w:szCs w:val="28"/>
          <w:lang w:val="uk-UA"/>
        </w:rPr>
        <w:tab/>
      </w:r>
      <w:r w:rsidRPr="00153EF9">
        <w:rPr>
          <w:color w:val="000000" w:themeColor="text1"/>
          <w:sz w:val="28"/>
          <w:szCs w:val="28"/>
          <w:lang w:val="uk-UA"/>
        </w:rPr>
        <w:tab/>
      </w:r>
      <w:r w:rsidRPr="00153EF9">
        <w:rPr>
          <w:color w:val="000000" w:themeColor="text1"/>
          <w:sz w:val="28"/>
          <w:szCs w:val="28"/>
          <w:lang w:val="uk-UA"/>
        </w:rPr>
        <w:tab/>
      </w:r>
      <w:r w:rsidRPr="00153EF9">
        <w:rPr>
          <w:color w:val="000000" w:themeColor="text1"/>
          <w:sz w:val="28"/>
          <w:szCs w:val="28"/>
          <w:lang w:val="uk-UA"/>
        </w:rPr>
        <w:tab/>
      </w:r>
      <w:r w:rsidRPr="00153EF9">
        <w:rPr>
          <w:color w:val="000000" w:themeColor="text1"/>
          <w:sz w:val="28"/>
          <w:szCs w:val="28"/>
          <w:lang w:val="uk-UA"/>
        </w:rPr>
        <w:tab/>
      </w:r>
      <w:r w:rsidRPr="00153EF9">
        <w:rPr>
          <w:color w:val="000000" w:themeColor="text1"/>
          <w:sz w:val="28"/>
          <w:szCs w:val="28"/>
          <w:lang w:val="uk-UA"/>
        </w:rPr>
        <w:tab/>
      </w:r>
      <w:r w:rsidRPr="00153EF9">
        <w:rPr>
          <w:color w:val="000000" w:themeColor="text1"/>
          <w:sz w:val="28"/>
          <w:szCs w:val="28"/>
          <w:lang w:val="uk-UA"/>
        </w:rPr>
        <w:tab/>
        <w:t>№___</w:t>
      </w:r>
    </w:p>
    <w:p w:rsidR="00401656" w:rsidRPr="00153EF9" w:rsidRDefault="00401656" w:rsidP="00401656">
      <w:pPr>
        <w:suppressAutoHyphens w:val="0"/>
        <w:rPr>
          <w:rFonts w:eastAsia="Calibri"/>
          <w:color w:val="000000" w:themeColor="text1"/>
          <w:sz w:val="28"/>
          <w:szCs w:val="28"/>
          <w:lang w:val="uk-UA" w:eastAsia="en-US"/>
        </w:rPr>
      </w:pPr>
      <w:r w:rsidRPr="00153EF9">
        <w:rPr>
          <w:rFonts w:eastAsia="Calibri"/>
          <w:color w:val="000000" w:themeColor="text1"/>
          <w:sz w:val="28"/>
          <w:szCs w:val="28"/>
          <w:lang w:val="uk-UA" w:eastAsia="en-US"/>
        </w:rPr>
        <w:t>м. Рахів</w:t>
      </w:r>
    </w:p>
    <w:p w:rsidR="00401656" w:rsidRPr="00153EF9" w:rsidRDefault="00401656" w:rsidP="00401656">
      <w:pPr>
        <w:suppressAutoHyphens w:val="0"/>
        <w:rPr>
          <w:rFonts w:eastAsia="Calibri"/>
          <w:color w:val="000000" w:themeColor="text1"/>
          <w:sz w:val="28"/>
          <w:szCs w:val="28"/>
          <w:lang w:val="uk-UA" w:eastAsia="en-US"/>
        </w:rPr>
      </w:pPr>
    </w:p>
    <w:p w:rsidR="00401656" w:rsidRPr="00153EF9" w:rsidRDefault="00401656" w:rsidP="00401656">
      <w:pPr>
        <w:rPr>
          <w:bCs/>
          <w:iCs/>
          <w:color w:val="000000" w:themeColor="text1"/>
          <w:sz w:val="27"/>
          <w:szCs w:val="27"/>
          <w:lang w:val="uk-UA"/>
        </w:rPr>
      </w:pPr>
      <w:bookmarkStart w:id="0" w:name="_GoBack"/>
      <w:r w:rsidRPr="00153EF9">
        <w:rPr>
          <w:bCs/>
          <w:iCs/>
          <w:color w:val="000000" w:themeColor="text1"/>
          <w:sz w:val="27"/>
          <w:szCs w:val="27"/>
          <w:lang w:val="uk-UA"/>
        </w:rPr>
        <w:t>Про затвердження фінансового плану</w:t>
      </w:r>
    </w:p>
    <w:p w:rsidR="00401656" w:rsidRPr="00153EF9" w:rsidRDefault="00401656" w:rsidP="00401656">
      <w:pPr>
        <w:rPr>
          <w:bCs/>
          <w:iCs/>
          <w:color w:val="000000" w:themeColor="text1"/>
          <w:sz w:val="27"/>
          <w:szCs w:val="27"/>
          <w:lang w:val="uk-UA"/>
        </w:rPr>
      </w:pPr>
      <w:r w:rsidRPr="00153EF9">
        <w:rPr>
          <w:bCs/>
          <w:iCs/>
          <w:color w:val="000000" w:themeColor="text1"/>
          <w:sz w:val="27"/>
          <w:szCs w:val="27"/>
          <w:lang w:val="uk-UA"/>
        </w:rPr>
        <w:t>Комунального некомерційного підприємства</w:t>
      </w:r>
    </w:p>
    <w:p w:rsidR="00401656" w:rsidRPr="00153EF9" w:rsidRDefault="00401656" w:rsidP="00401656">
      <w:pPr>
        <w:rPr>
          <w:bCs/>
          <w:iCs/>
          <w:color w:val="000000" w:themeColor="text1"/>
          <w:sz w:val="27"/>
          <w:szCs w:val="27"/>
          <w:lang w:val="uk-UA"/>
        </w:rPr>
      </w:pPr>
      <w:r w:rsidRPr="00153EF9">
        <w:rPr>
          <w:bCs/>
          <w:iCs/>
          <w:color w:val="000000" w:themeColor="text1"/>
          <w:sz w:val="27"/>
          <w:szCs w:val="27"/>
          <w:lang w:val="uk-UA"/>
        </w:rPr>
        <w:t xml:space="preserve">«Рахівська районна лікарня» Рахівської міської </w:t>
      </w:r>
    </w:p>
    <w:p w:rsidR="00401656" w:rsidRPr="00153EF9" w:rsidRDefault="00401656" w:rsidP="00401656">
      <w:pPr>
        <w:rPr>
          <w:bCs/>
          <w:iCs/>
          <w:color w:val="000000" w:themeColor="text1"/>
          <w:sz w:val="27"/>
          <w:szCs w:val="27"/>
          <w:lang w:val="uk-UA"/>
        </w:rPr>
      </w:pPr>
      <w:r w:rsidRPr="00153EF9">
        <w:rPr>
          <w:bCs/>
          <w:iCs/>
          <w:color w:val="000000" w:themeColor="text1"/>
          <w:sz w:val="27"/>
          <w:szCs w:val="27"/>
          <w:lang w:val="uk-UA"/>
        </w:rPr>
        <w:t>ради Рахівського району Закарпатської області</w:t>
      </w:r>
    </w:p>
    <w:p w:rsidR="00401656" w:rsidRPr="00153EF9" w:rsidRDefault="00401656" w:rsidP="00401656">
      <w:pPr>
        <w:rPr>
          <w:bCs/>
          <w:iCs/>
          <w:color w:val="000000" w:themeColor="text1"/>
          <w:sz w:val="27"/>
          <w:szCs w:val="27"/>
          <w:lang w:val="uk-UA"/>
        </w:rPr>
      </w:pPr>
      <w:r w:rsidRPr="00153EF9">
        <w:rPr>
          <w:bCs/>
          <w:iCs/>
          <w:color w:val="000000" w:themeColor="text1"/>
          <w:sz w:val="27"/>
          <w:szCs w:val="27"/>
          <w:lang w:val="uk-UA"/>
        </w:rPr>
        <w:t>на ІІ-ІV квартал 2021 року</w:t>
      </w:r>
      <w:bookmarkEnd w:id="0"/>
    </w:p>
    <w:p w:rsidR="00401656" w:rsidRPr="00153EF9" w:rsidRDefault="00401656" w:rsidP="00401656">
      <w:pPr>
        <w:rPr>
          <w:bCs/>
          <w:iCs/>
          <w:color w:val="000000" w:themeColor="text1"/>
          <w:sz w:val="27"/>
          <w:szCs w:val="27"/>
          <w:lang w:val="uk-UA"/>
        </w:rPr>
      </w:pPr>
    </w:p>
    <w:p w:rsidR="00401656" w:rsidRPr="00153EF9" w:rsidRDefault="00401656" w:rsidP="00401656">
      <w:pPr>
        <w:tabs>
          <w:tab w:val="left" w:pos="567"/>
        </w:tabs>
        <w:jc w:val="both"/>
        <w:rPr>
          <w:color w:val="000000" w:themeColor="text1"/>
          <w:sz w:val="28"/>
          <w:szCs w:val="28"/>
          <w:lang w:val="uk-UA"/>
        </w:rPr>
      </w:pPr>
      <w:r w:rsidRPr="00153EF9">
        <w:rPr>
          <w:color w:val="000000" w:themeColor="text1"/>
          <w:sz w:val="27"/>
          <w:szCs w:val="27"/>
          <w:lang w:val="uk-UA"/>
        </w:rPr>
        <w:tab/>
        <w:t xml:space="preserve">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затвердження фінансового плану підприємства на 2021 рік від 21.04.2021 р. №311/06-6,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Рахівського району Закарпатської області, ст. 26 Закону України «Про місцеве самоврядування в Україні» та враховуючи надані показники на 2021 рік, </w:t>
      </w:r>
      <w:r w:rsidRPr="00153EF9">
        <w:rPr>
          <w:color w:val="000000" w:themeColor="text1"/>
          <w:sz w:val="28"/>
          <w:szCs w:val="28"/>
          <w:lang w:val="uk-UA"/>
        </w:rPr>
        <w:t>Рахівська міська рада</w:t>
      </w:r>
    </w:p>
    <w:p w:rsidR="00401656" w:rsidRPr="00AB6AAF" w:rsidRDefault="00401656" w:rsidP="00401656">
      <w:pPr>
        <w:tabs>
          <w:tab w:val="left" w:pos="567"/>
        </w:tabs>
        <w:jc w:val="center"/>
        <w:rPr>
          <w:color w:val="000000" w:themeColor="text1"/>
          <w:sz w:val="28"/>
          <w:szCs w:val="28"/>
          <w:lang w:val="uk-UA"/>
        </w:rPr>
      </w:pPr>
      <w:r w:rsidRPr="00AB6AAF">
        <w:rPr>
          <w:color w:val="000000" w:themeColor="text1"/>
          <w:sz w:val="28"/>
          <w:szCs w:val="28"/>
          <w:lang w:val="uk-UA"/>
        </w:rPr>
        <w:t>В И Р І Ш И Л А:</w:t>
      </w:r>
    </w:p>
    <w:p w:rsidR="00401656" w:rsidRPr="00153EF9" w:rsidRDefault="00401656" w:rsidP="00401656">
      <w:pPr>
        <w:pStyle w:val="a3"/>
        <w:shd w:val="clear" w:color="auto" w:fill="FFFFFF"/>
        <w:spacing w:before="0" w:beforeAutospacing="0" w:after="0" w:afterAutospacing="0"/>
        <w:ind w:firstLine="708"/>
        <w:jc w:val="both"/>
        <w:rPr>
          <w:color w:val="000000" w:themeColor="text1"/>
          <w:sz w:val="27"/>
          <w:szCs w:val="27"/>
          <w:lang w:val="uk-UA"/>
        </w:rPr>
      </w:pPr>
      <w:r w:rsidRPr="00153EF9">
        <w:rPr>
          <w:color w:val="000000" w:themeColor="text1"/>
          <w:sz w:val="27"/>
          <w:szCs w:val="27"/>
          <w:lang w:val="uk-UA"/>
        </w:rPr>
        <w:t xml:space="preserve">1. Затвердити фінансовий план комунального некомерційного підприємства «Рахівська районна лікарня» Рахівської міської ради Рахівського району Закарпатської області на </w:t>
      </w:r>
      <w:r w:rsidRPr="00153EF9">
        <w:rPr>
          <w:bCs/>
          <w:iCs/>
          <w:color w:val="000000" w:themeColor="text1"/>
          <w:sz w:val="27"/>
          <w:szCs w:val="27"/>
          <w:lang w:val="uk-UA"/>
        </w:rPr>
        <w:t xml:space="preserve">ІІ-ІV квартал </w:t>
      </w:r>
      <w:r w:rsidRPr="00153EF9">
        <w:rPr>
          <w:color w:val="000000" w:themeColor="text1"/>
          <w:sz w:val="27"/>
          <w:szCs w:val="27"/>
          <w:lang w:val="uk-UA"/>
        </w:rPr>
        <w:t>2021 рік (додається).</w:t>
      </w:r>
    </w:p>
    <w:p w:rsidR="00401656" w:rsidRPr="00153EF9" w:rsidRDefault="00401656" w:rsidP="00401656">
      <w:pPr>
        <w:pStyle w:val="a3"/>
        <w:shd w:val="clear" w:color="auto" w:fill="FFFFFF"/>
        <w:spacing w:before="0" w:beforeAutospacing="0" w:after="0" w:afterAutospacing="0"/>
        <w:ind w:firstLine="708"/>
        <w:jc w:val="both"/>
        <w:rPr>
          <w:color w:val="000000" w:themeColor="text1"/>
          <w:sz w:val="27"/>
          <w:szCs w:val="27"/>
          <w:lang w:val="uk-UA"/>
        </w:rPr>
      </w:pPr>
      <w:r w:rsidRPr="00153EF9">
        <w:rPr>
          <w:color w:val="000000" w:themeColor="text1"/>
          <w:sz w:val="27"/>
          <w:szCs w:val="27"/>
          <w:lang w:val="uk-UA"/>
        </w:rPr>
        <w:t>2. Комунальному некомерційному підприємству «Рахівська районна лікарня» Рахівської міської ради Рахівського району Закарпатської області (</w:t>
      </w:r>
      <w:proofErr w:type="spellStart"/>
      <w:r w:rsidRPr="00153EF9">
        <w:rPr>
          <w:color w:val="000000" w:themeColor="text1"/>
          <w:sz w:val="27"/>
          <w:szCs w:val="27"/>
          <w:lang w:val="uk-UA"/>
        </w:rPr>
        <w:t>Симулик</w:t>
      </w:r>
      <w:proofErr w:type="spellEnd"/>
      <w:r w:rsidRPr="00153EF9">
        <w:rPr>
          <w:color w:val="000000" w:themeColor="text1"/>
          <w:sz w:val="27"/>
          <w:szCs w:val="27"/>
          <w:lang w:val="uk-UA"/>
        </w:rPr>
        <w:t xml:space="preserve"> В.К.)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401656" w:rsidRPr="00153EF9" w:rsidRDefault="00401656" w:rsidP="00401656">
      <w:pPr>
        <w:pStyle w:val="a3"/>
        <w:shd w:val="clear" w:color="auto" w:fill="FFFFFF"/>
        <w:spacing w:before="0" w:beforeAutospacing="0" w:after="0" w:afterAutospacing="0"/>
        <w:ind w:firstLine="708"/>
        <w:jc w:val="both"/>
        <w:rPr>
          <w:color w:val="000000" w:themeColor="text1"/>
          <w:sz w:val="27"/>
          <w:szCs w:val="27"/>
          <w:lang w:val="uk-UA"/>
        </w:rPr>
      </w:pPr>
      <w:r w:rsidRPr="00153EF9">
        <w:rPr>
          <w:color w:val="000000" w:themeColor="text1"/>
          <w:sz w:val="27"/>
          <w:szCs w:val="27"/>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401656" w:rsidRPr="00153EF9" w:rsidRDefault="00401656" w:rsidP="00401656">
      <w:pPr>
        <w:rPr>
          <w:color w:val="000000" w:themeColor="text1"/>
          <w:sz w:val="27"/>
          <w:szCs w:val="27"/>
          <w:lang w:val="uk-UA"/>
        </w:rPr>
      </w:pPr>
    </w:p>
    <w:p w:rsidR="00401656" w:rsidRDefault="00401656" w:rsidP="00401656">
      <w:pPr>
        <w:rPr>
          <w:color w:val="000000" w:themeColor="text1"/>
          <w:sz w:val="27"/>
          <w:szCs w:val="27"/>
          <w:lang w:val="uk-UA"/>
        </w:rPr>
      </w:pPr>
      <w:r w:rsidRPr="00153EF9">
        <w:rPr>
          <w:color w:val="000000" w:themeColor="text1"/>
          <w:sz w:val="27"/>
          <w:szCs w:val="27"/>
          <w:lang w:val="uk-UA"/>
        </w:rPr>
        <w:t>Міський голова                                                                          В.МЕДВІДЬ</w:t>
      </w:r>
    </w:p>
    <w:p w:rsidR="00401656" w:rsidRDefault="00401656" w:rsidP="00401656">
      <w:pPr>
        <w:suppressAutoHyphens w:val="0"/>
        <w:spacing w:after="200" w:line="276" w:lineRule="auto"/>
        <w:rPr>
          <w:color w:val="000000" w:themeColor="text1"/>
          <w:sz w:val="27"/>
          <w:szCs w:val="27"/>
          <w:lang w:val="uk-UA"/>
        </w:rPr>
      </w:pPr>
      <w:r>
        <w:rPr>
          <w:color w:val="000000" w:themeColor="text1"/>
          <w:sz w:val="27"/>
          <w:szCs w:val="27"/>
          <w:lang w:val="uk-UA"/>
        </w:rPr>
        <w:br w:type="page"/>
      </w:r>
    </w:p>
    <w:p w:rsidR="00401656" w:rsidRPr="00153EF9" w:rsidRDefault="00401656" w:rsidP="00401656">
      <w:pPr>
        <w:rPr>
          <w:color w:val="000000" w:themeColor="text1"/>
          <w:sz w:val="27"/>
          <w:szCs w:val="27"/>
          <w:lang w:val="uk-UA"/>
        </w:rPr>
      </w:pPr>
    </w:p>
    <w:tbl>
      <w:tblPr>
        <w:tblW w:w="0" w:type="auto"/>
        <w:jc w:val="right"/>
        <w:tblInd w:w="-207" w:type="dxa"/>
        <w:tblLook w:val="01E0" w:firstRow="1" w:lastRow="1" w:firstColumn="1" w:lastColumn="1" w:noHBand="0" w:noVBand="0"/>
      </w:tblPr>
      <w:tblGrid>
        <w:gridCol w:w="3267"/>
      </w:tblGrid>
      <w:tr w:rsidR="00401656" w:rsidRPr="00153EF9" w:rsidTr="00E22944">
        <w:trPr>
          <w:trHeight w:val="1292"/>
          <w:jc w:val="right"/>
        </w:trPr>
        <w:tc>
          <w:tcPr>
            <w:tcW w:w="3267" w:type="dxa"/>
          </w:tcPr>
          <w:p w:rsidR="00401656" w:rsidRPr="00153EF9" w:rsidRDefault="00401656" w:rsidP="00E22944">
            <w:pPr>
              <w:spacing w:line="276" w:lineRule="auto"/>
              <w:rPr>
                <w:color w:val="000000" w:themeColor="text1"/>
                <w:lang w:val="uk-UA"/>
              </w:rPr>
            </w:pPr>
            <w:r w:rsidRPr="00153EF9">
              <w:rPr>
                <w:color w:val="000000" w:themeColor="text1"/>
                <w:sz w:val="27"/>
                <w:szCs w:val="27"/>
                <w:lang w:val="uk-UA"/>
              </w:rPr>
              <w:br w:type="page"/>
            </w:r>
            <w:r w:rsidRPr="00153EF9">
              <w:rPr>
                <w:color w:val="000000" w:themeColor="text1"/>
                <w:lang w:val="uk-UA" w:eastAsia="uk-UA"/>
              </w:rPr>
              <w:br w:type="page"/>
            </w:r>
            <w:r w:rsidRPr="00153EF9">
              <w:rPr>
                <w:color w:val="000000" w:themeColor="text1"/>
                <w:lang w:val="uk-UA" w:eastAsia="uk-UA"/>
              </w:rPr>
              <w:br w:type="page"/>
            </w:r>
            <w:r w:rsidRPr="00153EF9">
              <w:rPr>
                <w:color w:val="000000" w:themeColor="text1"/>
                <w:lang w:val="uk-UA"/>
              </w:rPr>
              <w:br w:type="page"/>
            </w:r>
            <w:r w:rsidRPr="00153EF9">
              <w:rPr>
                <w:b/>
                <w:color w:val="000000" w:themeColor="text1"/>
                <w:lang w:val="uk-UA"/>
              </w:rPr>
              <w:br w:type="page"/>
            </w:r>
            <w:r w:rsidRPr="00153EF9">
              <w:rPr>
                <w:color w:val="000000" w:themeColor="text1"/>
                <w:lang w:val="uk-UA"/>
              </w:rPr>
              <w:t xml:space="preserve">           Додаток                                                                                                                                                                                                                                                                                                                                                                                                                                                                                                                                                                                                                                                                                                                                                                                                                                                                                                                                                                                                                                                                                                                                                                                                                                                                                                                                                                                                                                                                                                                                                                                                                                                                                                                                                                                                                                                                                                                                                                                                                                                                                                                                                                                                                                                                                                                                                                                                                                                                                                                                                                                                                                                                                                                                                                                                                                                                                                                                                                                                                                                                                                                                                                                                                                                                                                                                                                                                                                                                                                                                                                                                                                                                                                                                                                                                                                                                                                                                                                                                                                                                                                                                                                                                                                                                                                                                                                                                                                                                                                                                                                                                                                                                                                                                                                                                                                                                                                                                                                                                                                                                                                                                                                                                                                                                                                                                                                                                                                                                                                                                                                                                                                                                                                                                                                                                                                                                                                                                                                                                                                                                                                                                                                                                                                                                                                                                                                                                                                                                                                                                              до рішення міської ради  </w:t>
            </w:r>
          </w:p>
          <w:p w:rsidR="00401656" w:rsidRPr="00153EF9" w:rsidRDefault="00401656" w:rsidP="00E22944">
            <w:pPr>
              <w:spacing w:line="276" w:lineRule="auto"/>
              <w:rPr>
                <w:color w:val="000000" w:themeColor="text1"/>
                <w:sz w:val="22"/>
                <w:szCs w:val="22"/>
                <w:lang w:val="uk-UA" w:eastAsia="en-US"/>
              </w:rPr>
            </w:pPr>
            <w:r w:rsidRPr="00153EF9">
              <w:rPr>
                <w:color w:val="000000" w:themeColor="text1"/>
                <w:lang w:val="uk-UA"/>
              </w:rPr>
              <w:t>___-</w:t>
            </w:r>
            <w:proofErr w:type="spellStart"/>
            <w:r w:rsidRPr="00153EF9">
              <w:rPr>
                <w:color w:val="000000" w:themeColor="text1"/>
                <w:lang w:val="uk-UA"/>
              </w:rPr>
              <w:t>ої</w:t>
            </w:r>
            <w:proofErr w:type="spellEnd"/>
            <w:r w:rsidRPr="00153EF9">
              <w:rPr>
                <w:color w:val="000000" w:themeColor="text1"/>
                <w:lang w:val="uk-UA"/>
              </w:rPr>
              <w:t xml:space="preserve"> сесії 8-го скликання                                                                                                 від ___.2021 р. №___</w:t>
            </w:r>
          </w:p>
        </w:tc>
      </w:tr>
    </w:tbl>
    <w:p w:rsidR="00401656" w:rsidRDefault="00401656" w:rsidP="00401656">
      <w:pPr>
        <w:rPr>
          <w:b/>
          <w:color w:val="000000" w:themeColor="text1"/>
          <w:sz w:val="32"/>
          <w:szCs w:val="32"/>
          <w:lang w:val="uk-UA" w:eastAsia="en-US"/>
        </w:rPr>
      </w:pPr>
    </w:p>
    <w:p w:rsidR="00401656" w:rsidRDefault="00401656" w:rsidP="00401656">
      <w:pPr>
        <w:jc w:val="center"/>
        <w:rPr>
          <w:b/>
          <w:color w:val="000000" w:themeColor="text1"/>
          <w:sz w:val="32"/>
          <w:szCs w:val="32"/>
          <w:lang w:val="uk-UA" w:eastAsia="en-US"/>
        </w:rPr>
      </w:pPr>
    </w:p>
    <w:p w:rsidR="00401656" w:rsidRDefault="00401656" w:rsidP="00401656">
      <w:pPr>
        <w:jc w:val="center"/>
        <w:rPr>
          <w:b/>
          <w:color w:val="000000" w:themeColor="text1"/>
          <w:sz w:val="32"/>
          <w:szCs w:val="32"/>
          <w:lang w:val="uk-UA" w:eastAsia="en-US"/>
        </w:rPr>
      </w:pPr>
    </w:p>
    <w:p w:rsidR="00401656" w:rsidRPr="00153EF9" w:rsidRDefault="00401656" w:rsidP="00401656">
      <w:pPr>
        <w:jc w:val="center"/>
        <w:rPr>
          <w:b/>
          <w:color w:val="000000" w:themeColor="text1"/>
          <w:sz w:val="32"/>
          <w:szCs w:val="32"/>
          <w:lang w:val="uk-UA" w:eastAsia="en-US"/>
        </w:rPr>
      </w:pPr>
      <w:r w:rsidRPr="00153EF9">
        <w:rPr>
          <w:b/>
          <w:color w:val="000000" w:themeColor="text1"/>
          <w:sz w:val="32"/>
          <w:szCs w:val="32"/>
          <w:lang w:val="uk-UA" w:eastAsia="en-US"/>
        </w:rPr>
        <w:t>ФІНАНСОВИЙ ПЛАН ПІДПРИЄМСТВА</w:t>
      </w:r>
    </w:p>
    <w:p w:rsidR="00401656" w:rsidRDefault="00401656" w:rsidP="00401656">
      <w:pPr>
        <w:jc w:val="center"/>
        <w:rPr>
          <w:b/>
          <w:color w:val="000000" w:themeColor="text1"/>
          <w:sz w:val="32"/>
          <w:szCs w:val="32"/>
          <w:lang w:val="uk-UA" w:eastAsia="en-US"/>
        </w:rPr>
      </w:pPr>
      <w:r w:rsidRPr="00153EF9">
        <w:rPr>
          <w:b/>
          <w:color w:val="000000" w:themeColor="text1"/>
          <w:sz w:val="32"/>
          <w:szCs w:val="32"/>
          <w:lang w:val="uk-UA" w:eastAsia="en-US"/>
        </w:rPr>
        <w:t xml:space="preserve">на </w:t>
      </w:r>
      <w:r w:rsidRPr="00153EF9">
        <w:rPr>
          <w:b/>
          <w:bCs/>
          <w:iCs/>
          <w:color w:val="000000" w:themeColor="text1"/>
          <w:sz w:val="27"/>
          <w:szCs w:val="27"/>
          <w:lang w:val="uk-UA"/>
        </w:rPr>
        <w:t xml:space="preserve">ІІ-ІV квартал </w:t>
      </w:r>
      <w:r w:rsidRPr="00153EF9">
        <w:rPr>
          <w:b/>
          <w:color w:val="000000" w:themeColor="text1"/>
          <w:sz w:val="32"/>
          <w:szCs w:val="32"/>
          <w:lang w:val="uk-UA" w:eastAsia="en-US"/>
        </w:rPr>
        <w:t>2021 року</w:t>
      </w:r>
    </w:p>
    <w:p w:rsidR="00401656" w:rsidRPr="00153EF9" w:rsidRDefault="00401656" w:rsidP="00401656">
      <w:pPr>
        <w:rPr>
          <w:b/>
          <w:color w:val="000000" w:themeColor="text1"/>
          <w:sz w:val="32"/>
          <w:szCs w:val="32"/>
          <w:lang w:val="uk-UA" w:eastAsia="en-US"/>
        </w:rPr>
      </w:pPr>
    </w:p>
    <w:tbl>
      <w:tblPr>
        <w:tblW w:w="12576" w:type="dxa"/>
        <w:tblInd w:w="93" w:type="dxa"/>
        <w:tblLook w:val="04A0" w:firstRow="1" w:lastRow="0" w:firstColumn="1" w:lastColumn="0" w:noHBand="0" w:noVBand="1"/>
      </w:tblPr>
      <w:tblGrid>
        <w:gridCol w:w="2880"/>
        <w:gridCol w:w="3372"/>
        <w:gridCol w:w="1701"/>
        <w:gridCol w:w="1418"/>
        <w:gridCol w:w="2005"/>
        <w:gridCol w:w="1200"/>
      </w:tblGrid>
      <w:tr w:rsidR="00401656" w:rsidRPr="00861AA1" w:rsidTr="00E22944">
        <w:trPr>
          <w:trHeight w:val="1245"/>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lang w:val="uk-UA" w:eastAsia="ru-RU"/>
              </w:rPr>
            </w:pPr>
            <w:r w:rsidRPr="00861AA1">
              <w:rPr>
                <w:lang w:val="uk-UA" w:eastAsia="ru-RU"/>
              </w:rPr>
              <w:t>Підприємство</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401656" w:rsidRPr="00861AA1" w:rsidRDefault="00401656" w:rsidP="00E22944">
            <w:pPr>
              <w:suppressAutoHyphens w:val="0"/>
              <w:rPr>
                <w:iCs/>
                <w:lang w:val="uk-UA" w:eastAsia="ru-RU"/>
              </w:rPr>
            </w:pPr>
            <w:r w:rsidRPr="00861AA1">
              <w:rPr>
                <w:iCs/>
                <w:lang w:val="uk-UA" w:eastAsia="ru-RU"/>
              </w:rPr>
              <w:t xml:space="preserve">Комунальне некомерційне підприємство «Рахівська районна лікарня» </w:t>
            </w:r>
            <w:r w:rsidRPr="00861AA1">
              <w:rPr>
                <w:iCs/>
                <w:lang w:val="uk-UA" w:eastAsia="ru-RU"/>
              </w:rPr>
              <w:br/>
              <w:t>Рахівської міської ради</w:t>
            </w:r>
          </w:p>
        </w:tc>
        <w:tc>
          <w:tcPr>
            <w:tcW w:w="31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1656" w:rsidRPr="00861AA1" w:rsidRDefault="00401656" w:rsidP="00E22944">
            <w:pPr>
              <w:suppressAutoHyphens w:val="0"/>
              <w:jc w:val="center"/>
              <w:rPr>
                <w:lang w:val="uk-UA" w:eastAsia="ru-RU"/>
              </w:rPr>
            </w:pPr>
            <w:r w:rsidRPr="00861AA1">
              <w:rPr>
                <w:lang w:val="uk-UA" w:eastAsia="ru-RU"/>
              </w:rPr>
              <w:t>Коди</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lang w:val="uk-UA" w:eastAsia="ru-RU"/>
              </w:rPr>
            </w:pPr>
          </w:p>
        </w:tc>
      </w:tr>
      <w:tr w:rsidR="00401656" w:rsidRPr="00861AA1" w:rsidTr="00E22944">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sz w:val="28"/>
                <w:szCs w:val="28"/>
                <w:lang w:val="uk-UA" w:eastAsia="ru-RU"/>
              </w:rPr>
            </w:pPr>
            <w:r w:rsidRPr="00861AA1">
              <w:rPr>
                <w:sz w:val="28"/>
                <w:szCs w:val="28"/>
                <w:lang w:val="uk-UA" w:eastAsia="ru-RU"/>
              </w:rPr>
              <w:t>Орган управління</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401656" w:rsidRPr="00861AA1" w:rsidRDefault="00401656" w:rsidP="00E22944">
            <w:pPr>
              <w:suppressAutoHyphens w:val="0"/>
              <w:rPr>
                <w:iCs/>
                <w:sz w:val="28"/>
                <w:szCs w:val="28"/>
                <w:lang w:val="uk-UA" w:eastAsia="ru-RU"/>
              </w:rPr>
            </w:pPr>
            <w:r w:rsidRPr="00861AA1">
              <w:rPr>
                <w:iCs/>
                <w:sz w:val="28"/>
                <w:szCs w:val="28"/>
                <w:lang w:val="uk-UA" w:eastAsia="ru-RU"/>
              </w:rPr>
              <w:t>Рахівська міська рада</w:t>
            </w:r>
          </w:p>
        </w:tc>
        <w:tc>
          <w:tcPr>
            <w:tcW w:w="1701"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rPr>
                <w:sz w:val="28"/>
                <w:szCs w:val="28"/>
                <w:lang w:val="uk-UA" w:eastAsia="ru-RU"/>
              </w:rPr>
            </w:pPr>
            <w:r w:rsidRPr="00861AA1">
              <w:rPr>
                <w:sz w:val="28"/>
                <w:szCs w:val="28"/>
                <w:lang w:val="uk-UA" w:eastAsia="ru-RU"/>
              </w:rPr>
              <w:t>За ЄДРПОУ</w:t>
            </w:r>
          </w:p>
        </w:tc>
        <w:tc>
          <w:tcPr>
            <w:tcW w:w="1418"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jc w:val="center"/>
              <w:rPr>
                <w:sz w:val="28"/>
                <w:szCs w:val="28"/>
                <w:lang w:val="uk-UA" w:eastAsia="ru-RU"/>
              </w:rPr>
            </w:pPr>
            <w:r w:rsidRPr="00861AA1">
              <w:rPr>
                <w:sz w:val="28"/>
                <w:szCs w:val="28"/>
                <w:lang w:val="uk-UA" w:eastAsia="ru-RU"/>
              </w:rPr>
              <w:t>01992624</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r>
      <w:tr w:rsidR="00401656" w:rsidRPr="00861AA1" w:rsidTr="00E22944">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sz w:val="28"/>
                <w:szCs w:val="28"/>
                <w:lang w:val="uk-UA" w:eastAsia="ru-RU"/>
              </w:rPr>
            </w:pPr>
            <w:r w:rsidRPr="00861AA1">
              <w:rPr>
                <w:sz w:val="28"/>
                <w:szCs w:val="28"/>
                <w:lang w:val="uk-UA" w:eastAsia="ru-RU"/>
              </w:rPr>
              <w:t>Галузь</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401656" w:rsidRPr="00861AA1" w:rsidRDefault="00401656" w:rsidP="00E22944">
            <w:pPr>
              <w:suppressAutoHyphens w:val="0"/>
              <w:rPr>
                <w:iCs/>
                <w:sz w:val="28"/>
                <w:szCs w:val="28"/>
                <w:lang w:val="uk-UA" w:eastAsia="ru-RU"/>
              </w:rPr>
            </w:pPr>
            <w:r w:rsidRPr="00861AA1">
              <w:rPr>
                <w:iCs/>
                <w:sz w:val="28"/>
                <w:szCs w:val="28"/>
                <w:lang w:val="uk-UA" w:eastAsia="ru-RU"/>
              </w:rPr>
              <w:t>Охорона здоров'я</w:t>
            </w:r>
          </w:p>
        </w:tc>
        <w:tc>
          <w:tcPr>
            <w:tcW w:w="1701"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rPr>
                <w:sz w:val="28"/>
                <w:szCs w:val="28"/>
                <w:lang w:val="uk-UA" w:eastAsia="ru-RU"/>
              </w:rPr>
            </w:pPr>
            <w:r w:rsidRPr="00861AA1">
              <w:rPr>
                <w:sz w:val="28"/>
                <w:szCs w:val="28"/>
                <w:lang w:val="uk-UA" w:eastAsia="ru-RU"/>
              </w:rPr>
              <w:t>За СПОДУ</w:t>
            </w:r>
          </w:p>
        </w:tc>
        <w:tc>
          <w:tcPr>
            <w:tcW w:w="1418"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rPr>
                <w:sz w:val="28"/>
                <w:szCs w:val="28"/>
                <w:lang w:val="uk-UA" w:eastAsia="ru-RU"/>
              </w:rPr>
            </w:pPr>
            <w:r w:rsidRPr="00861AA1">
              <w:rPr>
                <w:sz w:val="28"/>
                <w:szCs w:val="28"/>
                <w:lang w:val="uk-UA" w:eastAsia="ru-RU"/>
              </w:rPr>
              <w:t> </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r>
      <w:tr w:rsidR="00401656" w:rsidRPr="00861AA1" w:rsidTr="00E22944">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sz w:val="28"/>
                <w:szCs w:val="28"/>
                <w:lang w:val="uk-UA" w:eastAsia="ru-RU"/>
              </w:rPr>
            </w:pPr>
            <w:r w:rsidRPr="00861AA1">
              <w:rPr>
                <w:sz w:val="28"/>
                <w:szCs w:val="28"/>
                <w:lang w:val="uk-UA" w:eastAsia="ru-RU"/>
              </w:rPr>
              <w:t>Вид економічної діяльності</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401656" w:rsidRPr="00861AA1" w:rsidRDefault="00401656" w:rsidP="00E22944">
            <w:pPr>
              <w:suppressAutoHyphens w:val="0"/>
              <w:rPr>
                <w:iCs/>
                <w:sz w:val="28"/>
                <w:szCs w:val="28"/>
                <w:lang w:val="uk-UA" w:eastAsia="ru-RU"/>
              </w:rPr>
            </w:pPr>
            <w:r w:rsidRPr="00861AA1">
              <w:rPr>
                <w:iCs/>
                <w:sz w:val="28"/>
                <w:szCs w:val="28"/>
                <w:lang w:val="uk-UA" w:eastAsia="ru-RU"/>
              </w:rPr>
              <w:t>Спеціалізована медична практика</w:t>
            </w:r>
          </w:p>
        </w:tc>
        <w:tc>
          <w:tcPr>
            <w:tcW w:w="1701"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rPr>
                <w:sz w:val="28"/>
                <w:szCs w:val="28"/>
                <w:lang w:val="uk-UA" w:eastAsia="ru-RU"/>
              </w:rPr>
            </w:pPr>
            <w:r w:rsidRPr="00861AA1">
              <w:rPr>
                <w:sz w:val="28"/>
                <w:szCs w:val="28"/>
                <w:lang w:val="uk-UA" w:eastAsia="ru-RU"/>
              </w:rPr>
              <w:t>За ЗКНГ</w:t>
            </w:r>
          </w:p>
        </w:tc>
        <w:tc>
          <w:tcPr>
            <w:tcW w:w="1418"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rPr>
                <w:sz w:val="28"/>
                <w:szCs w:val="28"/>
                <w:lang w:val="uk-UA" w:eastAsia="ru-RU"/>
              </w:rPr>
            </w:pPr>
            <w:r w:rsidRPr="00861AA1">
              <w:rPr>
                <w:sz w:val="28"/>
                <w:szCs w:val="28"/>
                <w:lang w:val="uk-UA" w:eastAsia="ru-RU"/>
              </w:rPr>
              <w:t> </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r>
      <w:tr w:rsidR="00401656" w:rsidRPr="00861AA1" w:rsidTr="00E22944">
        <w:trPr>
          <w:trHeight w:val="705"/>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sz w:val="28"/>
                <w:szCs w:val="28"/>
                <w:lang w:val="uk-UA" w:eastAsia="ru-RU"/>
              </w:rPr>
            </w:pPr>
            <w:r w:rsidRPr="00861AA1">
              <w:rPr>
                <w:sz w:val="28"/>
                <w:szCs w:val="28"/>
                <w:lang w:val="uk-UA" w:eastAsia="ru-RU"/>
              </w:rPr>
              <w:t xml:space="preserve">Місцезнаходження   </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401656" w:rsidRPr="00861AA1" w:rsidRDefault="00401656" w:rsidP="00E22944">
            <w:pPr>
              <w:suppressAutoHyphens w:val="0"/>
              <w:rPr>
                <w:iCs/>
                <w:sz w:val="28"/>
                <w:szCs w:val="28"/>
                <w:lang w:val="uk-UA" w:eastAsia="ru-RU"/>
              </w:rPr>
            </w:pPr>
            <w:r w:rsidRPr="00861AA1">
              <w:rPr>
                <w:iCs/>
                <w:sz w:val="28"/>
                <w:szCs w:val="28"/>
                <w:lang w:val="uk-UA" w:eastAsia="ru-RU"/>
              </w:rPr>
              <w:t>вулиця Карпатська, буд.1, м. Рахів, Закарпатська обл.., 90600</w:t>
            </w:r>
          </w:p>
        </w:tc>
        <w:tc>
          <w:tcPr>
            <w:tcW w:w="1701"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rPr>
                <w:sz w:val="28"/>
                <w:szCs w:val="28"/>
                <w:lang w:val="uk-UA" w:eastAsia="ru-RU"/>
              </w:rPr>
            </w:pPr>
            <w:r w:rsidRPr="00861AA1">
              <w:rPr>
                <w:sz w:val="28"/>
                <w:szCs w:val="28"/>
                <w:lang w:val="uk-UA" w:eastAsia="ru-RU"/>
              </w:rPr>
              <w:t>За КВЕД</w:t>
            </w:r>
          </w:p>
        </w:tc>
        <w:tc>
          <w:tcPr>
            <w:tcW w:w="1418" w:type="dxa"/>
            <w:tcBorders>
              <w:top w:val="nil"/>
              <w:left w:val="nil"/>
              <w:bottom w:val="single" w:sz="4" w:space="0" w:color="auto"/>
              <w:right w:val="single" w:sz="4" w:space="0" w:color="auto"/>
            </w:tcBorders>
            <w:shd w:val="clear" w:color="auto" w:fill="auto"/>
            <w:hideMark/>
          </w:tcPr>
          <w:p w:rsidR="00401656" w:rsidRPr="00861AA1" w:rsidRDefault="00401656" w:rsidP="00E22944">
            <w:pPr>
              <w:suppressAutoHyphens w:val="0"/>
              <w:jc w:val="center"/>
              <w:rPr>
                <w:iCs/>
                <w:sz w:val="28"/>
                <w:szCs w:val="28"/>
                <w:lang w:val="uk-UA" w:eastAsia="ru-RU"/>
              </w:rPr>
            </w:pPr>
            <w:r w:rsidRPr="00861AA1">
              <w:rPr>
                <w:iCs/>
                <w:sz w:val="28"/>
                <w:szCs w:val="28"/>
                <w:lang w:val="uk-UA" w:eastAsia="ru-RU"/>
              </w:rPr>
              <w:t>86.22</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r>
      <w:tr w:rsidR="00401656" w:rsidRPr="00861AA1" w:rsidTr="00E22944">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sz w:val="28"/>
                <w:szCs w:val="28"/>
                <w:lang w:val="uk-UA" w:eastAsia="ru-RU"/>
              </w:rPr>
            </w:pPr>
            <w:r w:rsidRPr="00861AA1">
              <w:rPr>
                <w:sz w:val="28"/>
                <w:szCs w:val="28"/>
                <w:lang w:val="uk-UA" w:eastAsia="ru-RU"/>
              </w:rPr>
              <w:t>Телефон</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401656" w:rsidRPr="00861AA1" w:rsidRDefault="00401656" w:rsidP="00E22944">
            <w:pPr>
              <w:suppressAutoHyphens w:val="0"/>
              <w:rPr>
                <w:iCs/>
                <w:sz w:val="28"/>
                <w:szCs w:val="28"/>
                <w:lang w:val="uk-UA" w:eastAsia="ru-RU"/>
              </w:rPr>
            </w:pPr>
            <w:r w:rsidRPr="00861AA1">
              <w:rPr>
                <w:iCs/>
                <w:sz w:val="28"/>
                <w:szCs w:val="28"/>
                <w:lang w:val="uk-UA" w:eastAsia="ru-RU"/>
              </w:rPr>
              <w:t>(031-32) 2-52-35</w:t>
            </w:r>
          </w:p>
        </w:tc>
        <w:tc>
          <w:tcPr>
            <w:tcW w:w="1701"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sz w:val="28"/>
                <w:szCs w:val="28"/>
                <w:lang w:val="uk-UA" w:eastAsia="ru-RU"/>
              </w:rPr>
            </w:pPr>
            <w:r w:rsidRPr="00861AA1">
              <w:rPr>
                <w:b/>
                <w:bCs/>
                <w:sz w:val="28"/>
                <w:szCs w:val="28"/>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sz w:val="28"/>
                <w:szCs w:val="28"/>
                <w:lang w:val="uk-UA" w:eastAsia="ru-RU"/>
              </w:rPr>
            </w:pPr>
            <w:r w:rsidRPr="00861AA1">
              <w:rPr>
                <w:b/>
                <w:bCs/>
                <w:sz w:val="28"/>
                <w:szCs w:val="28"/>
                <w:lang w:val="uk-UA" w:eastAsia="ru-RU"/>
              </w:rPr>
              <w:t> </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r>
      <w:tr w:rsidR="00401656" w:rsidRPr="00861AA1" w:rsidTr="00E22944">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656" w:rsidRPr="00861AA1" w:rsidRDefault="00401656" w:rsidP="00E22944">
            <w:pPr>
              <w:suppressAutoHyphens w:val="0"/>
              <w:rPr>
                <w:sz w:val="28"/>
                <w:szCs w:val="28"/>
                <w:lang w:val="uk-UA" w:eastAsia="ru-RU"/>
              </w:rPr>
            </w:pPr>
            <w:r w:rsidRPr="00861AA1">
              <w:rPr>
                <w:sz w:val="28"/>
                <w:szCs w:val="28"/>
                <w:lang w:val="uk-UA" w:eastAsia="ru-RU"/>
              </w:rPr>
              <w:t>Керівник</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401656" w:rsidRPr="00861AA1" w:rsidRDefault="00401656" w:rsidP="00E22944">
            <w:pPr>
              <w:suppressAutoHyphens w:val="0"/>
              <w:rPr>
                <w:iCs/>
                <w:sz w:val="28"/>
                <w:szCs w:val="28"/>
                <w:lang w:val="uk-UA" w:eastAsia="ru-RU"/>
              </w:rPr>
            </w:pPr>
            <w:proofErr w:type="spellStart"/>
            <w:r w:rsidRPr="00861AA1">
              <w:rPr>
                <w:iCs/>
                <w:sz w:val="28"/>
                <w:szCs w:val="28"/>
                <w:lang w:val="uk-UA" w:eastAsia="ru-RU"/>
              </w:rPr>
              <w:t>Симулик</w:t>
            </w:r>
            <w:proofErr w:type="spellEnd"/>
            <w:r w:rsidRPr="00861AA1">
              <w:rPr>
                <w:iCs/>
                <w:sz w:val="28"/>
                <w:szCs w:val="28"/>
                <w:lang w:val="uk-UA" w:eastAsia="ru-RU"/>
              </w:rPr>
              <w:t xml:space="preserve"> Володимир Корнелійович</w:t>
            </w:r>
          </w:p>
        </w:tc>
        <w:tc>
          <w:tcPr>
            <w:tcW w:w="1701"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sz w:val="28"/>
                <w:szCs w:val="28"/>
                <w:lang w:val="uk-UA" w:eastAsia="ru-RU"/>
              </w:rPr>
            </w:pPr>
            <w:r w:rsidRPr="00861AA1">
              <w:rPr>
                <w:b/>
                <w:bCs/>
                <w:sz w:val="28"/>
                <w:szCs w:val="28"/>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sz w:val="28"/>
                <w:szCs w:val="28"/>
                <w:lang w:val="uk-UA" w:eastAsia="ru-RU"/>
              </w:rPr>
            </w:pPr>
            <w:r w:rsidRPr="00861AA1">
              <w:rPr>
                <w:b/>
                <w:bCs/>
                <w:sz w:val="28"/>
                <w:szCs w:val="28"/>
                <w:lang w:val="uk-UA" w:eastAsia="ru-RU"/>
              </w:rPr>
              <w:t> </w:t>
            </w:r>
          </w:p>
        </w:tc>
        <w:tc>
          <w:tcPr>
            <w:tcW w:w="2005"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c>
          <w:tcPr>
            <w:tcW w:w="1200" w:type="dxa"/>
            <w:tcBorders>
              <w:top w:val="nil"/>
              <w:left w:val="nil"/>
              <w:bottom w:val="nil"/>
              <w:right w:val="nil"/>
            </w:tcBorders>
            <w:shd w:val="clear" w:color="auto" w:fill="auto"/>
            <w:noWrap/>
            <w:vAlign w:val="bottom"/>
            <w:hideMark/>
          </w:tcPr>
          <w:p w:rsidR="00401656" w:rsidRPr="00861AA1" w:rsidRDefault="00401656" w:rsidP="00E22944">
            <w:pPr>
              <w:suppressAutoHyphens w:val="0"/>
              <w:rPr>
                <w:sz w:val="28"/>
                <w:szCs w:val="28"/>
                <w:lang w:val="uk-UA" w:eastAsia="ru-RU"/>
              </w:rPr>
            </w:pPr>
          </w:p>
        </w:tc>
      </w:tr>
    </w:tbl>
    <w:p w:rsidR="00401656" w:rsidRDefault="00401656" w:rsidP="00401656">
      <w:pPr>
        <w:suppressAutoHyphens w:val="0"/>
        <w:rPr>
          <w:rFonts w:eastAsia="Calibri"/>
          <w:color w:val="000000" w:themeColor="text1"/>
          <w:sz w:val="28"/>
          <w:szCs w:val="28"/>
          <w:lang w:val="uk-UA" w:eastAsia="en-US"/>
        </w:rPr>
      </w:pPr>
    </w:p>
    <w:p w:rsidR="00401656" w:rsidRDefault="00401656" w:rsidP="00401656">
      <w:pPr>
        <w:suppressAutoHyphens w:val="0"/>
        <w:rPr>
          <w:rFonts w:eastAsia="Calibri"/>
          <w:color w:val="000000" w:themeColor="text1"/>
          <w:sz w:val="28"/>
          <w:szCs w:val="28"/>
          <w:lang w:val="uk-UA" w:eastAsia="en-US"/>
        </w:rPr>
      </w:pPr>
      <w:r w:rsidRPr="00153EF9">
        <w:rPr>
          <w:rFonts w:eastAsia="Calibri"/>
          <w:color w:val="000000" w:themeColor="text1"/>
          <w:sz w:val="28"/>
          <w:szCs w:val="28"/>
          <w:lang w:val="uk-UA" w:eastAsia="en-US"/>
        </w:rPr>
        <w:t>одиниці виміру: тис. грн.</w:t>
      </w:r>
    </w:p>
    <w:p w:rsidR="00401656" w:rsidRPr="00153EF9" w:rsidRDefault="00401656" w:rsidP="00401656">
      <w:pPr>
        <w:suppressAutoHyphens w:val="0"/>
        <w:rPr>
          <w:rFonts w:eastAsia="Calibri"/>
          <w:color w:val="000000" w:themeColor="text1"/>
          <w:sz w:val="28"/>
          <w:szCs w:val="28"/>
          <w:lang w:val="uk-UA" w:eastAsia="en-US"/>
        </w:rPr>
      </w:pPr>
    </w:p>
    <w:tbl>
      <w:tblPr>
        <w:tblW w:w="9513" w:type="dxa"/>
        <w:tblInd w:w="93" w:type="dxa"/>
        <w:tblLook w:val="04A0" w:firstRow="1" w:lastRow="0" w:firstColumn="1" w:lastColumn="0" w:noHBand="0" w:noVBand="1"/>
      </w:tblPr>
      <w:tblGrid>
        <w:gridCol w:w="3984"/>
        <w:gridCol w:w="1560"/>
        <w:gridCol w:w="1275"/>
        <w:gridCol w:w="1418"/>
        <w:gridCol w:w="1276"/>
      </w:tblGrid>
      <w:tr w:rsidR="00401656" w:rsidRPr="00153EF9" w:rsidTr="00E22944">
        <w:trPr>
          <w:trHeight w:val="315"/>
        </w:trPr>
        <w:tc>
          <w:tcPr>
            <w:tcW w:w="398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01656" w:rsidRPr="00861AA1" w:rsidRDefault="00401656" w:rsidP="00E22944">
            <w:pPr>
              <w:suppressAutoHyphens w:val="0"/>
              <w:jc w:val="center"/>
              <w:rPr>
                <w:b/>
                <w:bCs/>
                <w:lang w:val="uk-UA" w:eastAsia="ru-RU"/>
              </w:rPr>
            </w:pPr>
            <w:r w:rsidRPr="00861AA1">
              <w:rPr>
                <w:b/>
                <w:bCs/>
                <w:lang w:val="uk-UA" w:eastAsia="ru-RU"/>
              </w:rPr>
              <w:t>Очікувані ДОХОДИ  на ІІ-ІV квартали  2021 року</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656" w:rsidRPr="00861AA1" w:rsidRDefault="00401656" w:rsidP="00E22944">
            <w:pPr>
              <w:suppressAutoHyphens w:val="0"/>
              <w:jc w:val="center"/>
              <w:rPr>
                <w:b/>
                <w:bCs/>
                <w:lang w:val="uk-UA" w:eastAsia="ru-RU"/>
              </w:rPr>
            </w:pPr>
            <w:r w:rsidRPr="00861AA1">
              <w:rPr>
                <w:b/>
                <w:bCs/>
                <w:lang w:val="uk-UA" w:eastAsia="ru-RU"/>
              </w:rPr>
              <w:t>Разом  на 2021 рік</w:t>
            </w:r>
          </w:p>
        </w:tc>
        <w:tc>
          <w:tcPr>
            <w:tcW w:w="3969" w:type="dxa"/>
            <w:gridSpan w:val="3"/>
            <w:tcBorders>
              <w:top w:val="single" w:sz="4" w:space="0" w:color="auto"/>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 </w:t>
            </w:r>
          </w:p>
        </w:tc>
      </w:tr>
      <w:tr w:rsidR="00401656" w:rsidRPr="00153EF9" w:rsidTr="00E22944">
        <w:trPr>
          <w:trHeight w:val="345"/>
        </w:trPr>
        <w:tc>
          <w:tcPr>
            <w:tcW w:w="3984" w:type="dxa"/>
            <w:vMerge/>
            <w:tcBorders>
              <w:top w:val="single" w:sz="4" w:space="0" w:color="auto"/>
              <w:left w:val="single" w:sz="4" w:space="0" w:color="auto"/>
              <w:bottom w:val="single" w:sz="4" w:space="0" w:color="000000"/>
              <w:right w:val="single" w:sz="4" w:space="0" w:color="000000"/>
            </w:tcBorders>
            <w:vAlign w:val="center"/>
            <w:hideMark/>
          </w:tcPr>
          <w:p w:rsidR="00401656" w:rsidRPr="00861AA1" w:rsidRDefault="00401656" w:rsidP="00E22944">
            <w:pPr>
              <w:suppressAutoHyphens w:val="0"/>
              <w:rPr>
                <w:b/>
                <w:bCs/>
                <w:lang w:val="uk-UA"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01656" w:rsidRPr="00861AA1" w:rsidRDefault="00401656" w:rsidP="00E22944">
            <w:pPr>
              <w:suppressAutoHyphens w:val="0"/>
              <w:rPr>
                <w:b/>
                <w:bCs/>
                <w:lang w:val="uk-UA"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ІІ</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ІІІ</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ІV</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Кошти отримані за медичні послуги  НСЗУ</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58 946,80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19 428,90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19 439,00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20 078,90</w:t>
            </w:r>
          </w:p>
        </w:tc>
      </w:tr>
      <w:tr w:rsidR="00401656" w:rsidRPr="00153EF9" w:rsidTr="00E22944">
        <w:trPr>
          <w:trHeight w:val="660"/>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Кошти отримані за медичні послуги  НСЗУ на лікування захворювання на COVID-19</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45 000,00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15 000,00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15 000,00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15 000,00</w:t>
            </w:r>
          </w:p>
        </w:tc>
      </w:tr>
      <w:tr w:rsidR="00401656" w:rsidRPr="00153EF9" w:rsidTr="00E22944">
        <w:trPr>
          <w:trHeight w:val="337"/>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b/>
                <w:bCs/>
                <w:lang w:val="uk-UA" w:eastAsia="ru-RU"/>
              </w:rPr>
            </w:pPr>
            <w:r w:rsidRPr="00861AA1">
              <w:rPr>
                <w:b/>
                <w:bCs/>
                <w:lang w:val="uk-UA" w:eastAsia="ru-RU"/>
              </w:rPr>
              <w:t>Кошти місцевих бюджетів:</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3 963,10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1 505,60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887,30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1 570,20</w:t>
            </w:r>
          </w:p>
        </w:tc>
      </w:tr>
      <w:tr w:rsidR="00401656" w:rsidRPr="00153EF9" w:rsidTr="00E22944">
        <w:trPr>
          <w:trHeight w:val="570"/>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Відшкодування  з місцевого бюджету на оплату  комунальних послуг та енергоносіїв</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2 970,20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1 174,70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556,30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1 239,20</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Кошти місцевих бюджетів на місцеві програми</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992,90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330,90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331,00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331,00</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b/>
                <w:bCs/>
                <w:lang w:val="uk-UA" w:eastAsia="ru-RU"/>
              </w:rPr>
            </w:pPr>
            <w:r w:rsidRPr="00861AA1">
              <w:rPr>
                <w:b/>
                <w:bCs/>
                <w:lang w:val="uk-UA" w:eastAsia="ru-RU"/>
              </w:rPr>
              <w:t>Надходження від платних послуг - разом</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1 530,10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510,00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510,00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510,10</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xml:space="preserve"> в </w:t>
            </w:r>
            <w:proofErr w:type="spellStart"/>
            <w:r w:rsidRPr="00861AA1">
              <w:rPr>
                <w:lang w:val="uk-UA" w:eastAsia="ru-RU"/>
              </w:rPr>
              <w:t>т.ч</w:t>
            </w:r>
            <w:proofErr w:type="spellEnd"/>
            <w:r w:rsidRPr="00861AA1">
              <w:rPr>
                <w:lang w:val="uk-UA" w:eastAsia="ru-RU"/>
              </w:rPr>
              <w:t>.: плата за послуги</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1 500,00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500,00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500,00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500,00</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lastRenderedPageBreak/>
              <w:t xml:space="preserve"> від оренди приміщення</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30,10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10,10</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благодійні внески</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b/>
                <w:bCs/>
                <w:lang w:val="uk-UA" w:eastAsia="ru-RU"/>
              </w:rPr>
            </w:pPr>
            <w:r w:rsidRPr="00861AA1">
              <w:rPr>
                <w:b/>
                <w:bCs/>
                <w:lang w:val="uk-UA" w:eastAsia="ru-RU"/>
              </w:rPr>
              <w:t>Разом ДОХОДИ  загального фонду</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37 159,20</w:t>
            </w:r>
          </w:p>
        </w:tc>
      </w:tr>
      <w:tr w:rsidR="00401656" w:rsidRPr="00153EF9" w:rsidTr="00E22944">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b/>
                <w:bCs/>
                <w:lang w:val="uk-UA" w:eastAsia="ru-RU"/>
              </w:rPr>
            </w:pPr>
            <w:r w:rsidRPr="00861AA1">
              <w:rPr>
                <w:b/>
                <w:bCs/>
                <w:lang w:val="uk-UA" w:eastAsia="ru-RU"/>
              </w:rPr>
              <w:t>Інвестиційна діяльність</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r>
      <w:tr w:rsidR="00401656" w:rsidRPr="00153EF9" w:rsidTr="00E22944">
        <w:trPr>
          <w:trHeight w:val="36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 xml:space="preserve">  ДОХОДИ - УСЬОГО </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37 159,20</w:t>
            </w:r>
          </w:p>
        </w:tc>
      </w:tr>
      <w:tr w:rsidR="00401656" w:rsidRPr="00153EF9" w:rsidTr="00E22944">
        <w:trPr>
          <w:trHeight w:val="33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ВИТРАТИ</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i/>
                <w:iCs/>
                <w:lang w:val="uk-UA" w:eastAsia="ru-RU"/>
              </w:rPr>
            </w:pPr>
            <w:r w:rsidRPr="00861AA1">
              <w:rPr>
                <w:i/>
                <w:iCs/>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i/>
                <w:iCs/>
                <w:lang w:val="uk-UA" w:eastAsia="ru-RU"/>
              </w:rPr>
            </w:pPr>
            <w:r w:rsidRPr="00861AA1">
              <w:rPr>
                <w:i/>
                <w:iCs/>
                <w:lang w:val="uk-UA"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r>
      <w:tr w:rsidR="00401656" w:rsidRPr="00153EF9" w:rsidTr="00E22944">
        <w:trPr>
          <w:trHeight w:val="264"/>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b/>
                <w:bCs/>
                <w:lang w:val="uk-UA" w:eastAsia="ru-RU"/>
              </w:rPr>
            </w:pPr>
            <w:r w:rsidRPr="00861AA1">
              <w:rPr>
                <w:b/>
                <w:bCs/>
                <w:lang w:val="uk-UA" w:eastAsia="ru-RU"/>
              </w:rPr>
              <w:t>Поточні видатки  Усього:</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37 159,20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Оплата праці</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46 978,80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15 511,40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15 511,50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15 955,90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Нарахування на оплату праці</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10 333,10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3 412,50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3 412,50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3 508,10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Предмети, матеріали, обладнання та інвентар</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705,00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235,00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235,00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235,00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Медикаменти та перев'язувальні матеріали</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1 160,00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360,00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450,00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Продукти харчування</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750,00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250,00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250,00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250,00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Оплата послуг (крім комунальних)</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450,00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150,00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150,00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Видатки на відрядження</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20,00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40,00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lang w:val="uk-UA" w:eastAsia="ru-RU"/>
              </w:rPr>
            </w:pPr>
            <w:r w:rsidRPr="00861AA1">
              <w:rPr>
                <w:lang w:val="uk-UA" w:eastAsia="ru-RU"/>
              </w:rPr>
              <w:t>40,00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Виплата пенсій і допомоги</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212,90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70,90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71,00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71,00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Інші виплати населенню</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780,00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260,00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260,00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260,00</w:t>
            </w:r>
          </w:p>
        </w:tc>
      </w:tr>
      <w:tr w:rsidR="00401656" w:rsidRPr="00153EF9" w:rsidTr="00E22944">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Оплата комунальних послуг та енергоносіїв</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2 970,20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1 174,70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556,30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1 239,20</w:t>
            </w:r>
          </w:p>
        </w:tc>
      </w:tr>
      <w:tr w:rsidR="00401656" w:rsidRPr="00153EF9" w:rsidTr="00E22944">
        <w:trPr>
          <w:trHeight w:val="585"/>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Кошти отримані за медичні послуги  НСЗУ на лікування захворювання на COVID-19</w:t>
            </w:r>
          </w:p>
        </w:tc>
        <w:tc>
          <w:tcPr>
            <w:tcW w:w="1560"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45 000,00</w:t>
            </w:r>
          </w:p>
        </w:tc>
        <w:tc>
          <w:tcPr>
            <w:tcW w:w="1275"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15 000,00</w:t>
            </w:r>
          </w:p>
        </w:tc>
        <w:tc>
          <w:tcPr>
            <w:tcW w:w="1418"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15 000,00</w:t>
            </w:r>
          </w:p>
        </w:tc>
        <w:tc>
          <w:tcPr>
            <w:tcW w:w="1276" w:type="dxa"/>
            <w:tcBorders>
              <w:top w:val="nil"/>
              <w:left w:val="nil"/>
              <w:bottom w:val="single" w:sz="4" w:space="0" w:color="auto"/>
              <w:right w:val="single" w:sz="4" w:space="0" w:color="auto"/>
            </w:tcBorders>
            <w:shd w:val="clear" w:color="000000" w:fill="FFFFFF"/>
            <w:noWrap/>
            <w:vAlign w:val="bottom"/>
            <w:hideMark/>
          </w:tcPr>
          <w:p w:rsidR="00401656" w:rsidRPr="00861AA1" w:rsidRDefault="00401656" w:rsidP="00E22944">
            <w:pPr>
              <w:suppressAutoHyphens w:val="0"/>
              <w:jc w:val="right"/>
              <w:rPr>
                <w:lang w:val="uk-UA" w:eastAsia="ru-RU"/>
              </w:rPr>
            </w:pPr>
            <w:r w:rsidRPr="00861AA1">
              <w:rPr>
                <w:lang w:val="uk-UA" w:eastAsia="ru-RU"/>
              </w:rPr>
              <w:t>15 000,00</w:t>
            </w:r>
          </w:p>
        </w:tc>
      </w:tr>
      <w:tr w:rsidR="00401656" w:rsidRPr="00153EF9" w:rsidTr="00E22944">
        <w:trPr>
          <w:trHeight w:val="33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656" w:rsidRPr="00861AA1" w:rsidRDefault="00401656" w:rsidP="00E22944">
            <w:pPr>
              <w:suppressAutoHyphens w:val="0"/>
              <w:rPr>
                <w:b/>
                <w:bCs/>
                <w:lang w:val="uk-UA" w:eastAsia="ru-RU"/>
              </w:rPr>
            </w:pPr>
            <w:r w:rsidRPr="00861AA1">
              <w:rPr>
                <w:b/>
                <w:bCs/>
                <w:lang w:val="uk-UA" w:eastAsia="ru-RU"/>
              </w:rPr>
              <w:t>Капітальні видатки</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r>
      <w:tr w:rsidR="00401656" w:rsidRPr="00153EF9" w:rsidTr="00E22944">
        <w:trPr>
          <w:trHeight w:val="615"/>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01656" w:rsidRPr="00861AA1" w:rsidRDefault="00401656" w:rsidP="00E22944">
            <w:pPr>
              <w:suppressAutoHyphens w:val="0"/>
              <w:rPr>
                <w:lang w:val="uk-UA" w:eastAsia="ru-RU"/>
              </w:rPr>
            </w:pPr>
            <w:r w:rsidRPr="00861AA1">
              <w:rPr>
                <w:lang w:val="uk-UA" w:eastAsia="ru-RU"/>
              </w:rPr>
              <w:t>Придбання обладнання і предметів дострокового користування</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r>
      <w:tr w:rsidR="00401656" w:rsidRPr="00153EF9" w:rsidTr="00E22944">
        <w:trPr>
          <w:trHeight w:val="315"/>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Капітальний ремонт</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rPr>
                <w:lang w:val="uk-UA" w:eastAsia="ru-RU"/>
              </w:rPr>
            </w:pPr>
            <w:r w:rsidRPr="00861AA1">
              <w:rPr>
                <w:lang w:val="uk-UA" w:eastAsia="ru-RU"/>
              </w:rPr>
              <w:t> </w:t>
            </w:r>
          </w:p>
        </w:tc>
      </w:tr>
      <w:tr w:rsidR="00401656" w:rsidRPr="00153EF9" w:rsidTr="00E22944">
        <w:trPr>
          <w:trHeight w:val="264"/>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656" w:rsidRPr="00861AA1" w:rsidRDefault="00401656" w:rsidP="00E22944">
            <w:pPr>
              <w:suppressAutoHyphens w:val="0"/>
              <w:jc w:val="center"/>
              <w:rPr>
                <w:b/>
                <w:bCs/>
                <w:lang w:val="uk-UA" w:eastAsia="ru-RU"/>
              </w:rPr>
            </w:pPr>
            <w:r w:rsidRPr="00861AA1">
              <w:rPr>
                <w:b/>
                <w:bCs/>
                <w:lang w:val="uk-UA" w:eastAsia="ru-RU"/>
              </w:rPr>
              <w:t>ВИТРАТИ - УСЬОГО</w:t>
            </w:r>
          </w:p>
        </w:tc>
        <w:tc>
          <w:tcPr>
            <w:tcW w:w="1560"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401656" w:rsidRPr="00861AA1" w:rsidRDefault="00401656" w:rsidP="00E22944">
            <w:pPr>
              <w:suppressAutoHyphens w:val="0"/>
              <w:jc w:val="right"/>
              <w:rPr>
                <w:b/>
                <w:bCs/>
                <w:lang w:val="uk-UA" w:eastAsia="ru-RU"/>
              </w:rPr>
            </w:pPr>
            <w:r w:rsidRPr="00861AA1">
              <w:rPr>
                <w:b/>
                <w:bCs/>
                <w:lang w:val="uk-UA" w:eastAsia="ru-RU"/>
              </w:rPr>
              <w:t>37 159,20</w:t>
            </w:r>
          </w:p>
        </w:tc>
      </w:tr>
    </w:tbl>
    <w:p w:rsidR="00401656" w:rsidRPr="00153EF9" w:rsidRDefault="00401656" w:rsidP="00401656">
      <w:pPr>
        <w:suppressAutoHyphens w:val="0"/>
        <w:spacing w:after="200" w:line="276" w:lineRule="auto"/>
        <w:rPr>
          <w:rFonts w:eastAsia="Calibri"/>
          <w:color w:val="000000" w:themeColor="text1"/>
          <w:sz w:val="28"/>
          <w:szCs w:val="28"/>
          <w:lang w:val="uk-UA" w:eastAsia="en-US"/>
        </w:rPr>
      </w:pPr>
    </w:p>
    <w:p w:rsidR="00401656" w:rsidRPr="00153EF9" w:rsidRDefault="00401656" w:rsidP="00401656">
      <w:pPr>
        <w:suppressAutoHyphens w:val="0"/>
        <w:spacing w:after="200" w:line="276" w:lineRule="auto"/>
        <w:rPr>
          <w:rFonts w:eastAsia="Calibri"/>
          <w:color w:val="000000" w:themeColor="text1"/>
          <w:sz w:val="28"/>
          <w:szCs w:val="28"/>
          <w:lang w:val="uk-UA" w:eastAsia="en-US"/>
        </w:rPr>
      </w:pPr>
    </w:p>
    <w:p w:rsidR="00401656" w:rsidRPr="00153EF9" w:rsidRDefault="00401656" w:rsidP="00401656">
      <w:pPr>
        <w:rPr>
          <w:bCs/>
          <w:color w:val="000000" w:themeColor="text1"/>
          <w:sz w:val="28"/>
          <w:szCs w:val="28"/>
          <w:lang w:val="uk-UA"/>
        </w:rPr>
      </w:pPr>
      <w:r w:rsidRPr="00153EF9">
        <w:rPr>
          <w:bCs/>
          <w:color w:val="000000" w:themeColor="text1"/>
          <w:sz w:val="28"/>
          <w:szCs w:val="28"/>
          <w:lang w:val="uk-UA"/>
        </w:rPr>
        <w:t>Секретар ради</w:t>
      </w:r>
      <w:r w:rsidRPr="00153EF9">
        <w:rPr>
          <w:bCs/>
          <w:color w:val="000000" w:themeColor="text1"/>
          <w:sz w:val="28"/>
          <w:szCs w:val="28"/>
          <w:lang w:val="uk-UA"/>
        </w:rPr>
        <w:tab/>
      </w:r>
      <w:r w:rsidRPr="00153EF9">
        <w:rPr>
          <w:bCs/>
          <w:color w:val="000000" w:themeColor="text1"/>
          <w:sz w:val="28"/>
          <w:szCs w:val="28"/>
          <w:lang w:val="uk-UA"/>
        </w:rPr>
        <w:tab/>
      </w:r>
      <w:r w:rsidRPr="00153EF9">
        <w:rPr>
          <w:bCs/>
          <w:color w:val="000000" w:themeColor="text1"/>
          <w:sz w:val="28"/>
          <w:szCs w:val="28"/>
          <w:lang w:val="uk-UA"/>
        </w:rPr>
        <w:tab/>
      </w:r>
      <w:r w:rsidRPr="00153EF9">
        <w:rPr>
          <w:bCs/>
          <w:color w:val="000000" w:themeColor="text1"/>
          <w:sz w:val="28"/>
          <w:szCs w:val="28"/>
          <w:lang w:val="uk-UA"/>
        </w:rPr>
        <w:tab/>
      </w:r>
      <w:r w:rsidRPr="00153EF9">
        <w:rPr>
          <w:bCs/>
          <w:color w:val="000000" w:themeColor="text1"/>
          <w:sz w:val="28"/>
          <w:szCs w:val="28"/>
          <w:lang w:val="uk-UA"/>
        </w:rPr>
        <w:tab/>
      </w:r>
      <w:r w:rsidRPr="00153EF9">
        <w:rPr>
          <w:bCs/>
          <w:color w:val="000000" w:themeColor="text1"/>
          <w:sz w:val="28"/>
          <w:szCs w:val="28"/>
          <w:lang w:val="uk-UA"/>
        </w:rPr>
        <w:tab/>
      </w:r>
      <w:r w:rsidRPr="00153EF9">
        <w:rPr>
          <w:bCs/>
          <w:color w:val="000000" w:themeColor="text1"/>
          <w:sz w:val="28"/>
          <w:szCs w:val="28"/>
          <w:lang w:val="uk-UA"/>
        </w:rPr>
        <w:tab/>
      </w:r>
      <w:r w:rsidRPr="00153EF9">
        <w:rPr>
          <w:bCs/>
          <w:color w:val="000000" w:themeColor="text1"/>
          <w:sz w:val="28"/>
          <w:szCs w:val="28"/>
          <w:lang w:val="uk-UA"/>
        </w:rPr>
        <w:tab/>
        <w:t>Д.БРЕХЛІЧУК</w:t>
      </w:r>
    </w:p>
    <w:p w:rsidR="00401656" w:rsidRPr="00153EF9" w:rsidRDefault="00401656" w:rsidP="00401656">
      <w:pPr>
        <w:suppressAutoHyphens w:val="0"/>
        <w:spacing w:after="200" w:line="276" w:lineRule="auto"/>
        <w:rPr>
          <w:b/>
          <w:sz w:val="28"/>
          <w:szCs w:val="28"/>
          <w:lang w:val="uk-UA"/>
        </w:rPr>
      </w:pPr>
      <w:r w:rsidRPr="00153EF9">
        <w:rPr>
          <w:b/>
          <w:sz w:val="28"/>
          <w:szCs w:val="28"/>
          <w:lang w:val="uk-UA"/>
        </w:rPr>
        <w:br w:type="page"/>
      </w:r>
    </w:p>
    <w:p w:rsidR="00ED3221" w:rsidRDefault="00ED3221"/>
    <w:sectPr w:rsidR="00ED32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56"/>
    <w:rsid w:val="00401656"/>
    <w:rsid w:val="00ED32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65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401656"/>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65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40165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7027</Words>
  <Characters>4006</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Дмитро Брехлічук</dc:creator>
  <cp:lastModifiedBy>Дмитро Брехлічук</cp:lastModifiedBy>
  <cp:revision>1</cp:revision>
  <dcterms:created xsi:type="dcterms:W3CDTF">2021-05-13T16:56:00Z</dcterms:created>
  <dcterms:modified xsi:type="dcterms:W3CDTF">2021-05-13T16:58:00Z</dcterms:modified>
</cp:coreProperties>
</file>