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649" w:rsidRPr="000F7649" w:rsidRDefault="00F04F08" w:rsidP="000F7649">
      <w:pPr>
        <w:spacing w:after="0" w:line="240" w:lineRule="auto"/>
        <w:ind w:left="0" w:right="0" w:firstLine="709"/>
        <w:jc w:val="center"/>
        <w:rPr>
          <w:b/>
          <w:i/>
          <w:szCs w:val="28"/>
        </w:rPr>
      </w:pPr>
      <w:bookmarkStart w:id="0" w:name="_GoBack"/>
      <w:bookmarkEnd w:id="0"/>
      <w:r w:rsidRPr="000F7649">
        <w:rPr>
          <w:b/>
          <w:i/>
          <w:szCs w:val="28"/>
        </w:rPr>
        <w:t>АНАЛЗ</w:t>
      </w:r>
    </w:p>
    <w:p w:rsidR="000F7649" w:rsidRPr="000F7649" w:rsidRDefault="000F7649" w:rsidP="000F7649">
      <w:pPr>
        <w:spacing w:after="0" w:line="240" w:lineRule="auto"/>
        <w:ind w:left="0" w:right="0" w:firstLine="709"/>
        <w:jc w:val="center"/>
        <w:rPr>
          <w:b/>
          <w:i/>
          <w:szCs w:val="28"/>
        </w:rPr>
      </w:pPr>
      <w:r w:rsidRPr="000F7649">
        <w:rPr>
          <w:b/>
          <w:i/>
          <w:szCs w:val="28"/>
        </w:rPr>
        <w:t xml:space="preserve">регуляторного впливу </w:t>
      </w:r>
      <w:r w:rsidR="00F04F08" w:rsidRPr="000F7649">
        <w:rPr>
          <w:b/>
          <w:i/>
          <w:szCs w:val="28"/>
        </w:rPr>
        <w:t>про</w:t>
      </w:r>
      <w:r w:rsidRPr="000F7649">
        <w:rPr>
          <w:b/>
          <w:i/>
          <w:szCs w:val="28"/>
        </w:rPr>
        <w:t>екту рішення міської ради</w:t>
      </w:r>
    </w:p>
    <w:p w:rsidR="000F7649" w:rsidRPr="000F7649" w:rsidRDefault="000F7649" w:rsidP="000F7649">
      <w:pPr>
        <w:spacing w:after="0" w:line="240" w:lineRule="auto"/>
        <w:ind w:left="0" w:right="0" w:firstLine="709"/>
        <w:jc w:val="center"/>
        <w:rPr>
          <w:b/>
          <w:i/>
          <w:szCs w:val="28"/>
        </w:rPr>
      </w:pPr>
      <w:r w:rsidRPr="000F7649">
        <w:rPr>
          <w:b/>
          <w:i/>
          <w:szCs w:val="28"/>
        </w:rPr>
        <w:t>„</w:t>
      </w:r>
      <w:r w:rsidR="00F04F08" w:rsidRPr="000F7649">
        <w:rPr>
          <w:b/>
          <w:i/>
          <w:szCs w:val="28"/>
        </w:rPr>
        <w:t xml:space="preserve">Про встановлення </w:t>
      </w:r>
      <w:r w:rsidRPr="000F7649">
        <w:rPr>
          <w:b/>
          <w:i/>
          <w:szCs w:val="28"/>
        </w:rPr>
        <w:t>ставок із сплати транспортного податку”</w:t>
      </w:r>
    </w:p>
    <w:p w:rsidR="000F7649" w:rsidRDefault="000F7649" w:rsidP="000F7649">
      <w:pPr>
        <w:spacing w:after="0" w:line="240" w:lineRule="auto"/>
        <w:ind w:left="0" w:right="0" w:firstLine="709"/>
        <w:rPr>
          <w:szCs w:val="28"/>
        </w:rPr>
      </w:pPr>
    </w:p>
    <w:p w:rsidR="000F7649" w:rsidRDefault="00F04F08" w:rsidP="000F7649">
      <w:pPr>
        <w:spacing w:after="0" w:line="240" w:lineRule="auto"/>
        <w:ind w:left="0" w:right="0" w:firstLine="709"/>
      </w:pPr>
      <w:r w:rsidRPr="000F7649">
        <w:rPr>
          <w:szCs w:val="28"/>
        </w:rPr>
        <w:t>Анал</w:t>
      </w:r>
      <w:r w:rsidR="000F7649">
        <w:rPr>
          <w:szCs w:val="28"/>
        </w:rPr>
        <w:t>і</w:t>
      </w:r>
      <w:r w:rsidRPr="000F7649">
        <w:rPr>
          <w:szCs w:val="28"/>
        </w:rPr>
        <w:t xml:space="preserve">з регуляторного впливу проекту </w:t>
      </w:r>
      <w:r w:rsidR="000F7649">
        <w:rPr>
          <w:szCs w:val="28"/>
        </w:rPr>
        <w:t>міської</w:t>
      </w:r>
      <w:r w:rsidRPr="000F7649">
        <w:rPr>
          <w:szCs w:val="28"/>
        </w:rPr>
        <w:t xml:space="preserve"> ради </w:t>
      </w:r>
      <w:r w:rsidR="00DF11D1">
        <w:rPr>
          <w:szCs w:val="28"/>
        </w:rPr>
        <w:t>«</w:t>
      </w:r>
      <w:r w:rsidRPr="000F7649">
        <w:rPr>
          <w:szCs w:val="28"/>
        </w:rPr>
        <w:t>Про</w:t>
      </w:r>
      <w:r w:rsidR="000F7649">
        <w:rPr>
          <w:szCs w:val="28"/>
        </w:rPr>
        <w:t xml:space="preserve"> встановлення ставок із сплати транспортного податку</w:t>
      </w:r>
      <w:r w:rsidR="00DF11D1">
        <w:rPr>
          <w:szCs w:val="28"/>
        </w:rPr>
        <w:t>»</w:t>
      </w:r>
      <w:r w:rsidRPr="000F7649">
        <w:rPr>
          <w:szCs w:val="28"/>
        </w:rPr>
        <w:t xml:space="preserve"> </w:t>
      </w:r>
      <w:r w:rsidR="000F7649">
        <w:t xml:space="preserve">підготовлено згідно з вимогами Закону України </w:t>
      </w:r>
      <w:r w:rsidR="00DF11D1">
        <w:t>«</w:t>
      </w:r>
      <w:r w:rsidR="000F7649">
        <w:t>Про засади державної регуляторної політики у сфері господарської діяльності</w:t>
      </w:r>
      <w:r w:rsidR="00DF11D1">
        <w:t>»</w:t>
      </w:r>
      <w:r w:rsidR="000F7649">
        <w:t>, Методики проведення аналізу впливу регуляторного акта, затвердженої постановою Кабінету Міністрів України від 11 березня 2004 р. № 308.</w:t>
      </w:r>
    </w:p>
    <w:p w:rsidR="000F7649" w:rsidRDefault="000F7649" w:rsidP="000F7649">
      <w:pPr>
        <w:spacing w:after="0" w:line="240" w:lineRule="auto"/>
        <w:ind w:left="0" w:right="0" w:firstLine="709"/>
      </w:pPr>
    </w:p>
    <w:p w:rsidR="000F7649" w:rsidRPr="000F7649" w:rsidRDefault="000F7649" w:rsidP="000F7649">
      <w:pPr>
        <w:spacing w:after="0" w:line="240" w:lineRule="auto"/>
        <w:ind w:left="0" w:right="0" w:firstLine="709"/>
        <w:jc w:val="center"/>
        <w:rPr>
          <w:b/>
        </w:rPr>
      </w:pPr>
      <w:r w:rsidRPr="000F7649">
        <w:rPr>
          <w:b/>
        </w:rPr>
        <w:t>І. Визначення проблеми</w:t>
      </w:r>
    </w:p>
    <w:p w:rsidR="0092515E" w:rsidRDefault="000F7649" w:rsidP="0092515E">
      <w:pPr>
        <w:spacing w:after="0" w:line="240" w:lineRule="auto"/>
        <w:ind w:left="0" w:right="0" w:firstLine="708"/>
      </w:pPr>
      <w:r>
        <w:t xml:space="preserve">Відповідно до пункту 24 частини 1 статті 26 Закону України </w:t>
      </w:r>
      <w:r w:rsidR="00DF11D1">
        <w:t>«</w:t>
      </w:r>
      <w:r>
        <w:t>Про місцеве самоврядування в Україні</w:t>
      </w:r>
      <w:r w:rsidR="00DF11D1">
        <w:t>»</w:t>
      </w:r>
      <w:r>
        <w:t xml:space="preserve"> повноваження щодо встановлення розмірів ставок місцевих податків і зборів відноситься до виключної компетенції органів місцевого самоврядування. В пункті 12.3. статті 12 Податкового кодексу України встановлено, що сільські, селищні, міські ради та ради об’єднаних територіальних громад, що створені згідно із законом та перспективним планом формування територій громад, в межах своїх повноважень приймають рішення про встановлення місцевих податків та зборів. Відповідно до статті 10 Податкового кодексу України місцеві ради обов’язково встановлюють транспортний податок.</w:t>
      </w:r>
    </w:p>
    <w:p w:rsidR="000F7649" w:rsidRDefault="000F7649" w:rsidP="0092515E">
      <w:pPr>
        <w:spacing w:after="0" w:line="240" w:lineRule="auto"/>
        <w:ind w:left="0" w:right="0" w:firstLine="708"/>
      </w:pPr>
      <w:r>
        <w:t xml:space="preserve">Транспортний податок зараховується в повному обсязі до бюджету об'єднаної територіальної громади, забезпечує збалансованість дохідної частини бюджету та задоволення частини потреб громади. Отже, з метою правового регулювання господарських і адміністративних відносин між громадянами, суб'єктами господарювання, органами місцевого самоврядування та фіскальними органами, недопущення суперечливих ситуацій, безумовного виконання Податкового кодексу України, виконання програм соціально-економічного розвитку територіальної громади, </w:t>
      </w:r>
      <w:r w:rsidR="0092515E">
        <w:t>Рахівській міській територіальній громаді</w:t>
      </w:r>
      <w:r>
        <w:t xml:space="preserve"> необхідно при</w:t>
      </w:r>
      <w:r w:rsidR="0092515E">
        <w:t xml:space="preserve">йняти проект регуляторного акту </w:t>
      </w:r>
      <w:r>
        <w:t xml:space="preserve">- рішення сесії </w:t>
      </w:r>
      <w:r w:rsidR="0092515E">
        <w:t>Рахівської міської</w:t>
      </w:r>
      <w:r>
        <w:t xml:space="preserve"> ради </w:t>
      </w:r>
      <w:r w:rsidR="0092515E">
        <w:t>„</w:t>
      </w:r>
      <w:r>
        <w:t xml:space="preserve">Про встановлення </w:t>
      </w:r>
      <w:r w:rsidR="0092515E">
        <w:t>ставок із сплати транспортного податку”</w:t>
      </w:r>
    </w:p>
    <w:p w:rsidR="000F7649" w:rsidRDefault="000F7649" w:rsidP="000F7649">
      <w:pPr>
        <w:spacing w:after="0" w:line="240" w:lineRule="auto"/>
        <w:ind w:left="0" w:right="0" w:firstLine="709"/>
      </w:pPr>
      <w:r>
        <w:t>Проблеми, які пропонується розв’язати та причини їх виникнення:</w:t>
      </w:r>
    </w:p>
    <w:p w:rsidR="0092515E" w:rsidRDefault="000F7649" w:rsidP="000F7649">
      <w:pPr>
        <w:spacing w:after="0" w:line="240" w:lineRule="auto"/>
        <w:ind w:left="0" w:right="0" w:firstLine="709"/>
      </w:pPr>
      <w:r>
        <w:t>-</w:t>
      </w:r>
      <w:r w:rsidR="0092515E">
        <w:t> </w:t>
      </w:r>
      <w:r>
        <w:t>наповнення доходн</w:t>
      </w:r>
      <w:r w:rsidR="0092515E">
        <w:t>ої</w:t>
      </w:r>
      <w:r>
        <w:t xml:space="preserve"> частини бюджету об’єднаної територіальної громади;</w:t>
      </w:r>
    </w:p>
    <w:p w:rsidR="000F7649" w:rsidRDefault="0092515E" w:rsidP="0092515E">
      <w:pPr>
        <w:spacing w:after="0" w:line="240" w:lineRule="auto"/>
        <w:ind w:left="0" w:right="0" w:firstLine="709"/>
      </w:pPr>
      <w:r>
        <w:t>- </w:t>
      </w:r>
      <w:r w:rsidR="000F7649">
        <w:t xml:space="preserve">забезпечення дотримання вимог статті 12 Податкового кодексу України щодо місцевих податків і зборів, які встановлюються </w:t>
      </w:r>
      <w:r>
        <w:t xml:space="preserve">Рахівською міською радою </w:t>
      </w:r>
      <w:r w:rsidR="000F7649">
        <w:t>до початку наступного бюджетного періоду;</w:t>
      </w:r>
    </w:p>
    <w:p w:rsidR="000F7649" w:rsidRDefault="000F7649" w:rsidP="000F7649">
      <w:pPr>
        <w:spacing w:after="0" w:line="240" w:lineRule="auto"/>
        <w:ind w:left="0" w:right="0" w:firstLine="709"/>
      </w:pPr>
      <w:r>
        <w:t>- встановлення ставки транспортного податку.</w:t>
      </w:r>
    </w:p>
    <w:p w:rsidR="000F7649" w:rsidRDefault="000F7649" w:rsidP="000F7649">
      <w:pPr>
        <w:spacing w:after="0" w:line="240" w:lineRule="auto"/>
        <w:ind w:left="0" w:right="0" w:firstLine="709"/>
      </w:pPr>
      <w:r>
        <w:t>Важливість проблеми полягає в тому, що забезпечення стабільного економічного та соціального розвитку громади здійснюється шляхом реалізації місцевих програм в галузях житлово-комунального господарства,</w:t>
      </w:r>
      <w:r w:rsidR="0092515E">
        <w:t xml:space="preserve"> </w:t>
      </w:r>
      <w:r>
        <w:t xml:space="preserve">транспорту, соціального захисту населення, освіти, культури, тощо і потребує відповідного фінансового забезпечення, достатнього наповнення бюджету </w:t>
      </w:r>
      <w:r w:rsidR="0092515E">
        <w:t>міської</w:t>
      </w:r>
      <w:r>
        <w:t xml:space="preserve"> територіальної громади.</w:t>
      </w:r>
    </w:p>
    <w:p w:rsidR="0092515E" w:rsidRDefault="000F7649" w:rsidP="000F7649">
      <w:pPr>
        <w:spacing w:after="0" w:line="240" w:lineRule="auto"/>
        <w:ind w:left="0" w:right="0" w:firstLine="709"/>
      </w:pPr>
      <w:r>
        <w:t xml:space="preserve">Органи місцевого самоврядування в рамках, визначених Бюджетним та Податковим кодексами України, мають кожного року ухвалювати рішення про встановлення місцевих податків і зборів на наступний рік для відповідного </w:t>
      </w:r>
      <w:r>
        <w:lastRenderedPageBreak/>
        <w:t>місцевого податку чи збору. Ухвалення рішення з цього питання необхідне для прозорого ефективного встановлення транспортного податку, здійснення необхідного контролю за своєчасністю та повнотою проведення платежів</w:t>
      </w:r>
      <w:r w:rsidR="0092515E">
        <w:t>.</w:t>
      </w:r>
    </w:p>
    <w:p w:rsidR="000F7649" w:rsidRDefault="000F7649" w:rsidP="000F7649">
      <w:pPr>
        <w:spacing w:after="0" w:line="240" w:lineRule="auto"/>
        <w:ind w:left="0" w:right="0" w:firstLine="709"/>
      </w:pPr>
      <w:r>
        <w:t xml:space="preserve">Кожен податок та збір є важливою складовою доходів бюджету, оскільки забезпечує певну частку у його наповненні. Згідно з бюджетним законодавством транспортний податок є одним з джерел надходжень загального фонду бюджету </w:t>
      </w:r>
      <w:r w:rsidR="0092515E">
        <w:t xml:space="preserve">міської </w:t>
      </w:r>
      <w:r>
        <w:t xml:space="preserve">територіальної громади, за рахунок якого утримуються бюджетні установи, комунальні заклади, що забезпечують надання послуг населенню в галузях освіти, охорони здоров'я, соціального захисту, культури, фізичної культури та спорту, захисту від надзвичайних ситуацій, тощо. Стабільність надходжень, що формують загальний фонд бюджету </w:t>
      </w:r>
      <w:r w:rsidR="0092515E">
        <w:t xml:space="preserve">міської </w:t>
      </w:r>
      <w:r>
        <w:t>територіальної громади, дозволяє провести соціально важливі видатки, отримати всім мешканцям громади суспільні послуги в тій чи іншій сфері, якими опікуються о</w:t>
      </w:r>
      <w:r w:rsidR="0092515E">
        <w:t>ргани місцевого самоврядування.</w:t>
      </w:r>
    </w:p>
    <w:p w:rsidR="0092515E" w:rsidRDefault="0092515E" w:rsidP="000F7649">
      <w:pPr>
        <w:spacing w:after="0" w:line="240" w:lineRule="auto"/>
        <w:ind w:left="0" w:right="0" w:firstLine="709"/>
      </w:pPr>
    </w:p>
    <w:p w:rsidR="0092515E" w:rsidRDefault="0092515E" w:rsidP="0092515E">
      <w:pPr>
        <w:spacing w:after="0" w:line="240" w:lineRule="auto"/>
        <w:ind w:left="0" w:right="0" w:firstLine="709"/>
        <w:jc w:val="center"/>
      </w:pPr>
      <w:r w:rsidRPr="0092515E">
        <w:t>Основні групи, на які зазначена проблема справляє вплив:</w:t>
      </w:r>
    </w:p>
    <w:tbl>
      <w:tblPr>
        <w:tblStyle w:val="a3"/>
        <w:tblW w:w="0" w:type="auto"/>
        <w:tblLook w:val="04A0" w:firstRow="1" w:lastRow="0" w:firstColumn="1" w:lastColumn="0" w:noHBand="0" w:noVBand="1"/>
      </w:tblPr>
      <w:tblGrid>
        <w:gridCol w:w="7650"/>
        <w:gridCol w:w="1276"/>
        <w:gridCol w:w="1245"/>
      </w:tblGrid>
      <w:tr w:rsidR="0092515E" w:rsidTr="007F248D">
        <w:tc>
          <w:tcPr>
            <w:tcW w:w="7650" w:type="dxa"/>
          </w:tcPr>
          <w:p w:rsidR="0092515E" w:rsidRDefault="0092515E" w:rsidP="0092515E">
            <w:pPr>
              <w:spacing w:after="0" w:line="240" w:lineRule="auto"/>
              <w:ind w:left="0" w:right="0" w:firstLine="0"/>
              <w:jc w:val="center"/>
            </w:pPr>
            <w:r>
              <w:t>Групи (підгрупи)</w:t>
            </w:r>
          </w:p>
        </w:tc>
        <w:tc>
          <w:tcPr>
            <w:tcW w:w="1276" w:type="dxa"/>
          </w:tcPr>
          <w:p w:rsidR="0092515E" w:rsidRDefault="0092515E" w:rsidP="0092515E">
            <w:pPr>
              <w:spacing w:after="0" w:line="240" w:lineRule="auto"/>
              <w:ind w:left="0" w:right="0" w:firstLine="0"/>
              <w:jc w:val="center"/>
            </w:pPr>
            <w:r>
              <w:t>Так</w:t>
            </w:r>
          </w:p>
        </w:tc>
        <w:tc>
          <w:tcPr>
            <w:tcW w:w="1245" w:type="dxa"/>
          </w:tcPr>
          <w:p w:rsidR="0092515E" w:rsidRDefault="0092515E" w:rsidP="0092515E">
            <w:pPr>
              <w:spacing w:after="0" w:line="240" w:lineRule="auto"/>
              <w:ind w:left="0" w:right="0" w:firstLine="0"/>
              <w:jc w:val="center"/>
            </w:pPr>
            <w:r>
              <w:t>Ні</w:t>
            </w:r>
          </w:p>
        </w:tc>
      </w:tr>
      <w:tr w:rsidR="0092515E" w:rsidTr="007F248D">
        <w:tc>
          <w:tcPr>
            <w:tcW w:w="7650" w:type="dxa"/>
          </w:tcPr>
          <w:p w:rsidR="0092515E" w:rsidRDefault="0092515E" w:rsidP="007F248D">
            <w:pPr>
              <w:spacing w:after="0" w:line="240" w:lineRule="auto"/>
              <w:ind w:left="0" w:right="0" w:firstLine="0"/>
            </w:pPr>
            <w:r>
              <w:t>Громадяни</w:t>
            </w:r>
          </w:p>
        </w:tc>
        <w:tc>
          <w:tcPr>
            <w:tcW w:w="1276" w:type="dxa"/>
          </w:tcPr>
          <w:p w:rsidR="0092515E" w:rsidRDefault="007F248D" w:rsidP="0092515E">
            <w:pPr>
              <w:spacing w:after="0" w:line="240" w:lineRule="auto"/>
              <w:ind w:left="0" w:right="0" w:firstLine="0"/>
              <w:jc w:val="center"/>
            </w:pPr>
            <w:r>
              <w:t>+</w:t>
            </w:r>
          </w:p>
        </w:tc>
        <w:tc>
          <w:tcPr>
            <w:tcW w:w="1245" w:type="dxa"/>
          </w:tcPr>
          <w:p w:rsidR="0092515E" w:rsidRDefault="007F248D" w:rsidP="0092515E">
            <w:pPr>
              <w:spacing w:after="0" w:line="240" w:lineRule="auto"/>
              <w:ind w:left="0" w:right="0" w:firstLine="0"/>
              <w:jc w:val="center"/>
            </w:pPr>
            <w:r>
              <w:t>-</w:t>
            </w:r>
          </w:p>
        </w:tc>
      </w:tr>
      <w:tr w:rsidR="0092515E" w:rsidTr="007F248D">
        <w:tc>
          <w:tcPr>
            <w:tcW w:w="7650" w:type="dxa"/>
          </w:tcPr>
          <w:p w:rsidR="0092515E" w:rsidRDefault="0092515E" w:rsidP="007F248D">
            <w:pPr>
              <w:spacing w:after="0" w:line="240" w:lineRule="auto"/>
              <w:ind w:left="0" w:right="0" w:firstLine="0"/>
            </w:pPr>
            <w:r>
              <w:t>Держава</w:t>
            </w:r>
          </w:p>
        </w:tc>
        <w:tc>
          <w:tcPr>
            <w:tcW w:w="1276" w:type="dxa"/>
          </w:tcPr>
          <w:p w:rsidR="0092515E" w:rsidRDefault="007F248D" w:rsidP="0092515E">
            <w:pPr>
              <w:spacing w:after="0" w:line="240" w:lineRule="auto"/>
              <w:ind w:left="0" w:right="0" w:firstLine="0"/>
              <w:jc w:val="center"/>
            </w:pPr>
            <w:r>
              <w:t>+</w:t>
            </w:r>
          </w:p>
        </w:tc>
        <w:tc>
          <w:tcPr>
            <w:tcW w:w="1245" w:type="dxa"/>
          </w:tcPr>
          <w:p w:rsidR="0092515E" w:rsidRDefault="007F248D" w:rsidP="0092515E">
            <w:pPr>
              <w:spacing w:after="0" w:line="240" w:lineRule="auto"/>
              <w:ind w:left="0" w:right="0" w:firstLine="0"/>
              <w:jc w:val="center"/>
            </w:pPr>
            <w:r>
              <w:t>-</w:t>
            </w:r>
          </w:p>
        </w:tc>
      </w:tr>
      <w:tr w:rsidR="0092515E" w:rsidTr="007F248D">
        <w:tc>
          <w:tcPr>
            <w:tcW w:w="7650" w:type="dxa"/>
          </w:tcPr>
          <w:p w:rsidR="0092515E" w:rsidRDefault="0092515E" w:rsidP="007F248D">
            <w:pPr>
              <w:spacing w:after="0" w:line="240" w:lineRule="auto"/>
              <w:ind w:left="0" w:right="0" w:firstLine="0"/>
            </w:pPr>
            <w:r>
              <w:t>Суб’єкти господарювання</w:t>
            </w:r>
          </w:p>
        </w:tc>
        <w:tc>
          <w:tcPr>
            <w:tcW w:w="1276" w:type="dxa"/>
          </w:tcPr>
          <w:p w:rsidR="0092515E" w:rsidRDefault="007F248D" w:rsidP="0092515E">
            <w:pPr>
              <w:spacing w:after="0" w:line="240" w:lineRule="auto"/>
              <w:ind w:left="0" w:right="0" w:firstLine="0"/>
              <w:jc w:val="center"/>
            </w:pPr>
            <w:r>
              <w:t>+</w:t>
            </w:r>
          </w:p>
        </w:tc>
        <w:tc>
          <w:tcPr>
            <w:tcW w:w="1245" w:type="dxa"/>
          </w:tcPr>
          <w:p w:rsidR="0092515E" w:rsidRDefault="007F248D" w:rsidP="0092515E">
            <w:pPr>
              <w:spacing w:after="0" w:line="240" w:lineRule="auto"/>
              <w:ind w:left="0" w:right="0" w:firstLine="0"/>
              <w:jc w:val="center"/>
            </w:pPr>
            <w:r>
              <w:t>-</w:t>
            </w:r>
          </w:p>
        </w:tc>
      </w:tr>
      <w:tr w:rsidR="0092515E" w:rsidTr="007F248D">
        <w:tc>
          <w:tcPr>
            <w:tcW w:w="7650" w:type="dxa"/>
          </w:tcPr>
          <w:p w:rsidR="0092515E" w:rsidRDefault="007F248D" w:rsidP="007F248D">
            <w:pPr>
              <w:spacing w:after="0" w:line="240" w:lineRule="auto"/>
              <w:ind w:left="0" w:right="0" w:firstLine="0"/>
            </w:pPr>
            <w:r>
              <w:t>у</w:t>
            </w:r>
            <w:r w:rsidR="0092515E">
              <w:t xml:space="preserve"> тому числі суб’єкти малого підприємництва</w:t>
            </w:r>
          </w:p>
        </w:tc>
        <w:tc>
          <w:tcPr>
            <w:tcW w:w="1276" w:type="dxa"/>
          </w:tcPr>
          <w:p w:rsidR="0092515E" w:rsidRDefault="007F248D" w:rsidP="0092515E">
            <w:pPr>
              <w:spacing w:after="0" w:line="240" w:lineRule="auto"/>
              <w:ind w:left="0" w:right="0" w:firstLine="0"/>
              <w:jc w:val="center"/>
            </w:pPr>
            <w:r>
              <w:t>+</w:t>
            </w:r>
          </w:p>
        </w:tc>
        <w:tc>
          <w:tcPr>
            <w:tcW w:w="1245" w:type="dxa"/>
          </w:tcPr>
          <w:p w:rsidR="0092515E" w:rsidRDefault="007F248D" w:rsidP="0092515E">
            <w:pPr>
              <w:spacing w:after="0" w:line="240" w:lineRule="auto"/>
              <w:ind w:left="0" w:right="0" w:firstLine="0"/>
              <w:jc w:val="center"/>
            </w:pPr>
            <w:r>
              <w:t>-</w:t>
            </w:r>
          </w:p>
        </w:tc>
      </w:tr>
    </w:tbl>
    <w:p w:rsidR="007F248D" w:rsidRDefault="007F248D" w:rsidP="007F248D">
      <w:pPr>
        <w:spacing w:after="0" w:line="240" w:lineRule="auto"/>
        <w:ind w:left="0" w:right="0" w:firstLine="708"/>
      </w:pPr>
    </w:p>
    <w:p w:rsidR="0092515E" w:rsidRDefault="007F248D" w:rsidP="007F248D">
      <w:pPr>
        <w:spacing w:after="0" w:line="240" w:lineRule="auto"/>
        <w:ind w:left="0" w:right="0" w:firstLine="708"/>
      </w:pPr>
      <w:r>
        <w:t>Розв’язання даної проблеми за допомогою ринкового механізму неможливе, оскільки чинне податкове законодавство чітко регламентує, що до повноважень саме рад об’єднаних територіальних громад, що створені згідно із законом та перспективним планом формування територій громад належить встановлення ставок місцевих податків та зборів в межах ставок, визначених Податковим кодексом України.</w:t>
      </w:r>
    </w:p>
    <w:p w:rsidR="007F248D" w:rsidRDefault="007F248D" w:rsidP="007F248D">
      <w:pPr>
        <w:spacing w:after="0" w:line="240" w:lineRule="auto"/>
        <w:ind w:left="0" w:right="0" w:firstLine="708"/>
      </w:pPr>
      <w:r>
        <w:t xml:space="preserve">Проблема не може бути розв’язана за допомогою діючих регуляторних актів, оскільки встановлення місцевих податків та зборів відповідно до Податкового кодексу України та Закону України </w:t>
      </w:r>
      <w:r w:rsidR="00DF11D1">
        <w:t>«</w:t>
      </w:r>
      <w:r>
        <w:t>Про місцеве самоврядування в Україні</w:t>
      </w:r>
      <w:r w:rsidR="00DF11D1">
        <w:t>»</w:t>
      </w:r>
      <w:r>
        <w:t xml:space="preserve"> є виключно компетенцією рад об’єднаних територіальних громад, що створені згідно із законом та перспективним планом формування територій громад та повинно встановлюватись щорічно. Таким чином, вказана проблема потребує розв’язання шляхом прийняття рішення Рахівською міською радою </w:t>
      </w:r>
      <w:r w:rsidR="00DF11D1">
        <w:t>«</w:t>
      </w:r>
      <w:r>
        <w:t>Про встановлення ставок із сплати транспортного податку</w:t>
      </w:r>
      <w:r w:rsidR="00DF11D1">
        <w:t>»</w:t>
      </w:r>
      <w:r>
        <w:t>.</w:t>
      </w:r>
    </w:p>
    <w:p w:rsidR="007F248D" w:rsidRDefault="007F248D" w:rsidP="007F248D">
      <w:pPr>
        <w:spacing w:after="0" w:line="240" w:lineRule="auto"/>
        <w:ind w:left="0" w:right="0" w:firstLine="708"/>
      </w:pPr>
    </w:p>
    <w:p w:rsidR="007F248D" w:rsidRPr="007F248D" w:rsidRDefault="007F248D" w:rsidP="007F248D">
      <w:pPr>
        <w:spacing w:after="0" w:line="240" w:lineRule="auto"/>
        <w:ind w:left="0" w:right="0" w:firstLine="708"/>
        <w:jc w:val="center"/>
        <w:rPr>
          <w:b/>
        </w:rPr>
      </w:pPr>
      <w:r w:rsidRPr="007F248D">
        <w:rPr>
          <w:b/>
        </w:rPr>
        <w:t>II. Цілі державного регулювання</w:t>
      </w:r>
    </w:p>
    <w:p w:rsidR="007F248D" w:rsidRDefault="007F248D" w:rsidP="007F248D">
      <w:pPr>
        <w:spacing w:after="0" w:line="240" w:lineRule="auto"/>
        <w:ind w:left="0" w:right="0" w:firstLine="708"/>
      </w:pPr>
      <w:r>
        <w:t xml:space="preserve">Цілі державного регулювання: </w:t>
      </w:r>
    </w:p>
    <w:p w:rsidR="007F248D" w:rsidRDefault="007F248D" w:rsidP="007F248D">
      <w:pPr>
        <w:spacing w:after="0" w:line="240" w:lineRule="auto"/>
        <w:ind w:left="0" w:right="0" w:firstLine="708"/>
      </w:pPr>
      <w:r>
        <w:t>- встановлення ставки транспортного податку;</w:t>
      </w:r>
    </w:p>
    <w:p w:rsidR="007F248D" w:rsidRDefault="007F248D" w:rsidP="007F248D">
      <w:pPr>
        <w:spacing w:after="0" w:line="240" w:lineRule="auto"/>
        <w:ind w:left="0" w:right="0" w:firstLine="708"/>
      </w:pPr>
      <w:r>
        <w:t>- забезпечення надходжень до бюджету Рахівської міської територіальної громади;</w:t>
      </w:r>
    </w:p>
    <w:p w:rsidR="007F248D" w:rsidRDefault="007F248D" w:rsidP="007F248D">
      <w:pPr>
        <w:spacing w:after="0" w:line="240" w:lineRule="auto"/>
        <w:ind w:left="0" w:right="0" w:firstLine="708"/>
      </w:pPr>
      <w:r>
        <w:t>- виконання програм соціального та економічного розвитку громади;</w:t>
      </w:r>
    </w:p>
    <w:p w:rsidR="007F248D" w:rsidRDefault="007F248D" w:rsidP="007F248D">
      <w:pPr>
        <w:spacing w:after="0" w:line="240" w:lineRule="auto"/>
        <w:ind w:left="0" w:right="0" w:firstLine="708"/>
      </w:pPr>
      <w:r>
        <w:t>- забезпечення дотримання вимог Податкового кодексу України щодо встановлення місцевих податків і зборів;</w:t>
      </w:r>
    </w:p>
    <w:p w:rsidR="007F248D" w:rsidRDefault="007F248D" w:rsidP="007F248D">
      <w:pPr>
        <w:spacing w:after="0" w:line="240" w:lineRule="auto"/>
        <w:ind w:left="0" w:right="0" w:firstLine="708"/>
      </w:pPr>
      <w:r>
        <w:lastRenderedPageBreak/>
        <w:t>- забезпечення відкритості процедури, прозорості дій органу місцевого самоврядування.</w:t>
      </w:r>
    </w:p>
    <w:p w:rsidR="007F248D" w:rsidRDefault="007F248D" w:rsidP="007F248D">
      <w:pPr>
        <w:spacing w:after="0" w:line="240" w:lineRule="auto"/>
        <w:ind w:left="0" w:right="0" w:firstLine="708"/>
      </w:pPr>
    </w:p>
    <w:p w:rsidR="007F248D" w:rsidRDefault="007F248D" w:rsidP="007F248D">
      <w:pPr>
        <w:spacing w:after="0" w:line="240" w:lineRule="auto"/>
        <w:ind w:left="0" w:right="0" w:firstLine="708"/>
        <w:rPr>
          <w:b/>
        </w:rPr>
      </w:pPr>
      <w:r w:rsidRPr="007F248D">
        <w:rPr>
          <w:b/>
        </w:rPr>
        <w:t xml:space="preserve">III. Визначення та оцінка альтернативних способів досягнення цілей. </w:t>
      </w:r>
    </w:p>
    <w:p w:rsidR="007F248D" w:rsidRDefault="007F248D" w:rsidP="007F248D">
      <w:pPr>
        <w:spacing w:after="0" w:line="240" w:lineRule="auto"/>
        <w:ind w:left="0" w:right="0" w:firstLine="708"/>
      </w:pPr>
      <w:r>
        <w:t>Визначення альтернативних способів досягнення цілей:</w:t>
      </w:r>
    </w:p>
    <w:tbl>
      <w:tblPr>
        <w:tblStyle w:val="a3"/>
        <w:tblW w:w="0" w:type="auto"/>
        <w:tblLook w:val="04A0" w:firstRow="1" w:lastRow="0" w:firstColumn="1" w:lastColumn="0" w:noHBand="0" w:noVBand="1"/>
      </w:tblPr>
      <w:tblGrid>
        <w:gridCol w:w="5085"/>
        <w:gridCol w:w="5086"/>
      </w:tblGrid>
      <w:tr w:rsidR="007F248D" w:rsidTr="007F248D">
        <w:tc>
          <w:tcPr>
            <w:tcW w:w="5085" w:type="dxa"/>
          </w:tcPr>
          <w:p w:rsidR="007F248D" w:rsidRDefault="007F248D" w:rsidP="007F248D">
            <w:pPr>
              <w:spacing w:after="0" w:line="240" w:lineRule="auto"/>
              <w:ind w:left="0" w:right="0" w:firstLine="0"/>
              <w:jc w:val="center"/>
            </w:pPr>
            <w:r>
              <w:t>Вид альтернативи</w:t>
            </w:r>
          </w:p>
        </w:tc>
        <w:tc>
          <w:tcPr>
            <w:tcW w:w="5086" w:type="dxa"/>
          </w:tcPr>
          <w:p w:rsidR="007F248D" w:rsidRDefault="007F248D" w:rsidP="007F248D">
            <w:pPr>
              <w:spacing w:after="0" w:line="240" w:lineRule="auto"/>
              <w:ind w:left="0" w:right="0" w:firstLine="0"/>
              <w:jc w:val="center"/>
            </w:pPr>
            <w:r>
              <w:t>Опис альтернативи</w:t>
            </w:r>
          </w:p>
        </w:tc>
      </w:tr>
      <w:tr w:rsidR="007F248D" w:rsidTr="007F248D">
        <w:tc>
          <w:tcPr>
            <w:tcW w:w="5085" w:type="dxa"/>
          </w:tcPr>
          <w:p w:rsidR="007F248D" w:rsidRDefault="007F248D" w:rsidP="007F248D">
            <w:pPr>
              <w:spacing w:after="0" w:line="240" w:lineRule="auto"/>
              <w:ind w:left="0" w:right="0" w:firstLine="0"/>
              <w:jc w:val="center"/>
            </w:pPr>
            <w:r>
              <w:t xml:space="preserve">Не прийняття запропонованого регуляторного акту </w:t>
            </w:r>
          </w:p>
          <w:p w:rsidR="007F248D" w:rsidRDefault="007F248D" w:rsidP="007F248D">
            <w:pPr>
              <w:spacing w:after="0" w:line="240" w:lineRule="auto"/>
              <w:ind w:left="0" w:right="0" w:firstLine="0"/>
              <w:jc w:val="center"/>
            </w:pPr>
            <w:r>
              <w:t>(далі - Альтернатива 1)</w:t>
            </w:r>
          </w:p>
        </w:tc>
        <w:tc>
          <w:tcPr>
            <w:tcW w:w="5086" w:type="dxa"/>
          </w:tcPr>
          <w:p w:rsidR="007F248D" w:rsidRDefault="007F248D" w:rsidP="007F248D">
            <w:pPr>
              <w:spacing w:after="0" w:line="240" w:lineRule="auto"/>
              <w:ind w:left="0" w:right="0" w:firstLine="0"/>
            </w:pPr>
            <w:r>
              <w:t>Альтернатива є неприпустимою, оскільки не відповідає вимогам чинного законодавства України (не дотримання вимоги пункту 12.4.1. статті 12 Податкового кодексу України). Альтернатива є неприйнятною, оскільки чинним законодавством покладено на органи місцевого самоврядування обов’язок із встановлення такого місцевого податку на території громади на відповідний бюджетний період.</w:t>
            </w:r>
          </w:p>
        </w:tc>
      </w:tr>
      <w:tr w:rsidR="007F248D" w:rsidTr="007F248D">
        <w:tc>
          <w:tcPr>
            <w:tcW w:w="5085" w:type="dxa"/>
          </w:tcPr>
          <w:p w:rsidR="007F248D" w:rsidRDefault="007F248D" w:rsidP="007F248D">
            <w:pPr>
              <w:spacing w:after="0" w:line="240" w:lineRule="auto"/>
              <w:ind w:left="0" w:right="0" w:firstLine="0"/>
              <w:jc w:val="center"/>
            </w:pPr>
            <w:r>
              <w:t xml:space="preserve">Прийняття запропонованого регуляторного акту </w:t>
            </w:r>
          </w:p>
          <w:p w:rsidR="007F248D" w:rsidRDefault="007F248D" w:rsidP="007F248D">
            <w:pPr>
              <w:spacing w:after="0" w:line="240" w:lineRule="auto"/>
              <w:ind w:left="0" w:right="0" w:firstLine="0"/>
              <w:jc w:val="center"/>
            </w:pPr>
            <w:r>
              <w:t>(далі - Альтернатива 2)</w:t>
            </w:r>
          </w:p>
        </w:tc>
        <w:tc>
          <w:tcPr>
            <w:tcW w:w="5086" w:type="dxa"/>
          </w:tcPr>
          <w:p w:rsidR="007F248D" w:rsidRDefault="007F248D" w:rsidP="006B490E">
            <w:pPr>
              <w:spacing w:after="0" w:line="240" w:lineRule="auto"/>
              <w:ind w:left="0" w:right="0" w:firstLine="0"/>
            </w:pPr>
            <w:r>
              <w:t>Безумовність обраного виду правового регулювання ґрунтується на імперативності (загальнообов’язковості) прийняття рішень про місцеві податки і збори Рахівською міською радою, що передбачено чинним законодавством. Забезпечуватимуться надходження до бюджету об'єднаної територіальної громади, виконання програм соціального та економічного розвитку громади. Згідно з проектом рішення ставка транспортного податку встановлюється з розрахунку на календарний рік у розмірі 25 000 гривень за кожен легковий автомобіль, що є об’єктом оподаткування (об’єктом оподаткування є легкові автомобілі, з року випуску яких минуло не більше п’яти років (включно) та середньо-ринкова вартість яких становить понад 375 розмірів мінімальної заробітної плати, встановленої законом на 1 січн</w:t>
            </w:r>
            <w:r w:rsidR="006B490E">
              <w:t>я податкового (звітного) року).</w:t>
            </w:r>
          </w:p>
        </w:tc>
      </w:tr>
    </w:tbl>
    <w:p w:rsidR="007F248D" w:rsidRDefault="007F248D" w:rsidP="007F248D">
      <w:pPr>
        <w:spacing w:after="0" w:line="240" w:lineRule="auto"/>
        <w:ind w:left="0" w:right="0" w:firstLine="0"/>
      </w:pPr>
    </w:p>
    <w:p w:rsidR="006B490E" w:rsidRDefault="006B490E">
      <w:pPr>
        <w:spacing w:after="160" w:line="259" w:lineRule="auto"/>
        <w:ind w:left="0" w:right="0" w:firstLine="0"/>
        <w:jc w:val="left"/>
        <w:rPr>
          <w:b/>
        </w:rPr>
      </w:pPr>
    </w:p>
    <w:p w:rsidR="006B490E" w:rsidRDefault="006B490E">
      <w:pPr>
        <w:spacing w:after="160" w:line="259" w:lineRule="auto"/>
        <w:ind w:left="0" w:right="0" w:firstLine="0"/>
        <w:jc w:val="left"/>
        <w:rPr>
          <w:b/>
        </w:rPr>
      </w:pPr>
      <w:r>
        <w:rPr>
          <w:b/>
        </w:rPr>
        <w:br w:type="page"/>
      </w:r>
    </w:p>
    <w:p w:rsidR="006B490E" w:rsidRPr="006B490E" w:rsidRDefault="006B490E" w:rsidP="006B490E">
      <w:pPr>
        <w:spacing w:after="0" w:line="240" w:lineRule="auto"/>
        <w:ind w:left="0" w:right="0" w:firstLine="0"/>
        <w:jc w:val="center"/>
        <w:rPr>
          <w:b/>
        </w:rPr>
      </w:pPr>
      <w:r w:rsidRPr="006B490E">
        <w:rPr>
          <w:b/>
        </w:rPr>
        <w:lastRenderedPageBreak/>
        <w:t>Оцінка вибраних альтернативних способів досягнення цілей:</w:t>
      </w:r>
    </w:p>
    <w:p w:rsidR="006B490E" w:rsidRDefault="006B490E" w:rsidP="006B490E">
      <w:pPr>
        <w:spacing w:after="0" w:line="240" w:lineRule="auto"/>
        <w:ind w:left="0" w:right="0" w:firstLine="0"/>
      </w:pPr>
    </w:p>
    <w:p w:rsidR="006B490E" w:rsidRDefault="006B490E" w:rsidP="006B490E">
      <w:pPr>
        <w:spacing w:after="0" w:line="240" w:lineRule="auto"/>
        <w:ind w:left="0" w:right="0" w:firstLine="708"/>
      </w:pPr>
      <w:r>
        <w:t>Оцінка впливу на сферу інтересів держави:</w:t>
      </w:r>
    </w:p>
    <w:tbl>
      <w:tblPr>
        <w:tblStyle w:val="a3"/>
        <w:tblW w:w="0" w:type="auto"/>
        <w:tblLook w:val="04A0" w:firstRow="1" w:lastRow="0" w:firstColumn="1" w:lastColumn="0" w:noHBand="0" w:noVBand="1"/>
      </w:tblPr>
      <w:tblGrid>
        <w:gridCol w:w="2689"/>
        <w:gridCol w:w="4252"/>
        <w:gridCol w:w="3230"/>
      </w:tblGrid>
      <w:tr w:rsidR="006B490E" w:rsidTr="006B490E">
        <w:tc>
          <w:tcPr>
            <w:tcW w:w="2689" w:type="dxa"/>
          </w:tcPr>
          <w:p w:rsidR="006B490E" w:rsidRDefault="006B490E" w:rsidP="006B490E">
            <w:pPr>
              <w:spacing w:after="0" w:line="240" w:lineRule="auto"/>
              <w:ind w:left="0" w:right="0" w:firstLine="0"/>
              <w:jc w:val="center"/>
            </w:pPr>
            <w:r>
              <w:t>Вид альтернативи</w:t>
            </w:r>
          </w:p>
        </w:tc>
        <w:tc>
          <w:tcPr>
            <w:tcW w:w="4252" w:type="dxa"/>
          </w:tcPr>
          <w:p w:rsidR="006B490E" w:rsidRDefault="006B490E" w:rsidP="006B490E">
            <w:pPr>
              <w:spacing w:after="0" w:line="240" w:lineRule="auto"/>
              <w:ind w:left="0" w:right="0" w:firstLine="0"/>
              <w:jc w:val="center"/>
            </w:pPr>
            <w:r>
              <w:t>Вигода</w:t>
            </w:r>
          </w:p>
        </w:tc>
        <w:tc>
          <w:tcPr>
            <w:tcW w:w="3230" w:type="dxa"/>
          </w:tcPr>
          <w:p w:rsidR="006B490E" w:rsidRDefault="006B490E" w:rsidP="006B490E">
            <w:pPr>
              <w:spacing w:after="0" w:line="240" w:lineRule="auto"/>
              <w:ind w:left="0" w:right="0" w:firstLine="0"/>
              <w:jc w:val="center"/>
            </w:pPr>
            <w:r>
              <w:t>Витрати</w:t>
            </w:r>
          </w:p>
        </w:tc>
      </w:tr>
      <w:tr w:rsidR="006B490E" w:rsidTr="006B490E">
        <w:tc>
          <w:tcPr>
            <w:tcW w:w="2689" w:type="dxa"/>
          </w:tcPr>
          <w:p w:rsidR="006B490E" w:rsidRDefault="006B490E" w:rsidP="006B490E">
            <w:pPr>
              <w:spacing w:after="0" w:line="240" w:lineRule="auto"/>
              <w:ind w:left="0" w:right="0" w:firstLine="0"/>
            </w:pPr>
            <w:r>
              <w:t>Альтернатива 1</w:t>
            </w:r>
          </w:p>
        </w:tc>
        <w:tc>
          <w:tcPr>
            <w:tcW w:w="4252" w:type="dxa"/>
          </w:tcPr>
          <w:p w:rsidR="006B490E" w:rsidRDefault="006B490E" w:rsidP="006B490E">
            <w:pPr>
              <w:spacing w:after="0" w:line="240" w:lineRule="auto"/>
              <w:ind w:left="0" w:right="0" w:firstLine="0"/>
            </w:pPr>
            <w:r>
              <w:t>Відсутні</w:t>
            </w:r>
          </w:p>
        </w:tc>
        <w:tc>
          <w:tcPr>
            <w:tcW w:w="3230" w:type="dxa"/>
          </w:tcPr>
          <w:p w:rsidR="006B490E" w:rsidRDefault="006B490E" w:rsidP="006B490E">
            <w:pPr>
              <w:spacing w:after="0" w:line="240" w:lineRule="auto"/>
              <w:ind w:left="0" w:right="0" w:firstLine="0"/>
            </w:pPr>
            <w:r>
              <w:t>Відсутні</w:t>
            </w:r>
          </w:p>
        </w:tc>
      </w:tr>
      <w:tr w:rsidR="006B490E" w:rsidTr="006B490E">
        <w:tc>
          <w:tcPr>
            <w:tcW w:w="2689" w:type="dxa"/>
          </w:tcPr>
          <w:p w:rsidR="006B490E" w:rsidRDefault="006B490E" w:rsidP="006B490E">
            <w:pPr>
              <w:spacing w:after="0" w:line="240" w:lineRule="auto"/>
              <w:ind w:left="0" w:right="0" w:firstLine="0"/>
            </w:pPr>
            <w:r>
              <w:t>Альтернатива 2</w:t>
            </w:r>
          </w:p>
          <w:p w:rsidR="006B490E" w:rsidRDefault="006B490E" w:rsidP="006B490E">
            <w:pPr>
              <w:spacing w:after="0" w:line="240" w:lineRule="auto"/>
              <w:ind w:left="0" w:right="0" w:firstLine="0"/>
            </w:pPr>
          </w:p>
        </w:tc>
        <w:tc>
          <w:tcPr>
            <w:tcW w:w="4252" w:type="dxa"/>
          </w:tcPr>
          <w:p w:rsidR="006B490E" w:rsidRDefault="006B490E" w:rsidP="006B490E">
            <w:pPr>
              <w:spacing w:after="0" w:line="240" w:lineRule="auto"/>
              <w:ind w:left="0" w:right="0" w:firstLine="0"/>
            </w:pPr>
            <w:r>
              <w:t>Забезпечення дотримання вимог Податкового кодексу України, реалізація повноважень наданих органам місцевого самоврядування. Забезпечення відповідних надходження до бюджету місцевої територіальної громади від сплати транспортного податку. Створення сприятливих фінансових можливостей для задоволення соціальних та інших потреб громади. Вдосконалення відносини між Рахівською міською радою, органом фіскальної служби, суб’єктами господарювання, пов’язаних зі справлянням транспортного податку.</w:t>
            </w:r>
          </w:p>
        </w:tc>
        <w:tc>
          <w:tcPr>
            <w:tcW w:w="3230" w:type="dxa"/>
          </w:tcPr>
          <w:p w:rsidR="006B490E" w:rsidRDefault="006B490E" w:rsidP="006B490E">
            <w:pPr>
              <w:spacing w:after="0" w:line="240" w:lineRule="auto"/>
              <w:ind w:left="0" w:right="0" w:firstLine="0"/>
              <w:jc w:val="center"/>
            </w:pPr>
            <w:r>
              <w:t>Витрати пов’язані з підготовкою регуляторного акту, проведення від стежень результативності регуляторного акта, проведення процедур з оприлюднення регуляторного акта.</w:t>
            </w:r>
          </w:p>
        </w:tc>
      </w:tr>
    </w:tbl>
    <w:p w:rsidR="006B490E" w:rsidRDefault="006B490E" w:rsidP="006B490E">
      <w:pPr>
        <w:spacing w:after="0" w:line="240" w:lineRule="auto"/>
        <w:ind w:left="0" w:right="0" w:firstLine="0"/>
      </w:pPr>
    </w:p>
    <w:p w:rsidR="006B490E" w:rsidRDefault="006B490E" w:rsidP="006B490E">
      <w:pPr>
        <w:spacing w:after="0" w:line="240" w:lineRule="auto"/>
        <w:ind w:left="0" w:right="0" w:firstLine="708"/>
      </w:pPr>
      <w:r>
        <w:t>Оцінка впливу на сферу інтересів громадян:</w:t>
      </w:r>
    </w:p>
    <w:tbl>
      <w:tblPr>
        <w:tblStyle w:val="a3"/>
        <w:tblW w:w="0" w:type="auto"/>
        <w:tblLook w:val="04A0" w:firstRow="1" w:lastRow="0" w:firstColumn="1" w:lastColumn="0" w:noHBand="0" w:noVBand="1"/>
      </w:tblPr>
      <w:tblGrid>
        <w:gridCol w:w="2689"/>
        <w:gridCol w:w="3741"/>
        <w:gridCol w:w="3741"/>
      </w:tblGrid>
      <w:tr w:rsidR="006B490E" w:rsidTr="006B490E">
        <w:tc>
          <w:tcPr>
            <w:tcW w:w="2689" w:type="dxa"/>
          </w:tcPr>
          <w:p w:rsidR="006B490E" w:rsidRDefault="006B490E" w:rsidP="006B490E">
            <w:pPr>
              <w:spacing w:after="0" w:line="240" w:lineRule="auto"/>
              <w:ind w:left="0" w:right="0" w:firstLine="0"/>
              <w:jc w:val="center"/>
            </w:pPr>
            <w:r>
              <w:t>Вид альтернативи</w:t>
            </w:r>
          </w:p>
        </w:tc>
        <w:tc>
          <w:tcPr>
            <w:tcW w:w="3741" w:type="dxa"/>
          </w:tcPr>
          <w:p w:rsidR="006B490E" w:rsidRDefault="006B490E" w:rsidP="006B490E">
            <w:pPr>
              <w:spacing w:after="0" w:line="240" w:lineRule="auto"/>
              <w:ind w:left="0" w:right="0" w:firstLine="0"/>
              <w:jc w:val="center"/>
            </w:pPr>
            <w:r>
              <w:t>Вигода</w:t>
            </w:r>
          </w:p>
        </w:tc>
        <w:tc>
          <w:tcPr>
            <w:tcW w:w="3741" w:type="dxa"/>
          </w:tcPr>
          <w:p w:rsidR="006B490E" w:rsidRDefault="006B490E" w:rsidP="006B490E">
            <w:pPr>
              <w:spacing w:after="0" w:line="240" w:lineRule="auto"/>
              <w:ind w:left="0" w:right="0" w:firstLine="0"/>
              <w:jc w:val="center"/>
            </w:pPr>
            <w:r>
              <w:t>Витрати</w:t>
            </w:r>
          </w:p>
        </w:tc>
      </w:tr>
      <w:tr w:rsidR="006B490E" w:rsidTr="006B490E">
        <w:tc>
          <w:tcPr>
            <w:tcW w:w="2689" w:type="dxa"/>
          </w:tcPr>
          <w:p w:rsidR="006B490E" w:rsidRDefault="006B490E" w:rsidP="006B490E">
            <w:pPr>
              <w:spacing w:after="0" w:line="240" w:lineRule="auto"/>
              <w:ind w:left="0" w:right="0" w:firstLine="0"/>
            </w:pPr>
            <w:r>
              <w:t xml:space="preserve">Альтернатива 1 </w:t>
            </w:r>
          </w:p>
        </w:tc>
        <w:tc>
          <w:tcPr>
            <w:tcW w:w="3741" w:type="dxa"/>
          </w:tcPr>
          <w:p w:rsidR="006B490E" w:rsidRDefault="006B490E" w:rsidP="006B490E">
            <w:pPr>
              <w:spacing w:after="0" w:line="240" w:lineRule="auto"/>
              <w:ind w:left="0" w:right="0" w:firstLine="0"/>
            </w:pPr>
            <w:r>
              <w:t>Відсутні</w:t>
            </w:r>
          </w:p>
        </w:tc>
        <w:tc>
          <w:tcPr>
            <w:tcW w:w="3741" w:type="dxa"/>
          </w:tcPr>
          <w:p w:rsidR="006B490E" w:rsidRDefault="006B490E" w:rsidP="006B490E">
            <w:pPr>
              <w:spacing w:after="0" w:line="240" w:lineRule="auto"/>
              <w:ind w:left="0" w:right="0" w:firstLine="0"/>
            </w:pPr>
            <w:r>
              <w:t>Відсутні</w:t>
            </w:r>
          </w:p>
        </w:tc>
      </w:tr>
      <w:tr w:rsidR="006B490E" w:rsidTr="006B490E">
        <w:tc>
          <w:tcPr>
            <w:tcW w:w="2689" w:type="dxa"/>
          </w:tcPr>
          <w:p w:rsidR="006B490E" w:rsidRDefault="006B490E" w:rsidP="006B490E">
            <w:pPr>
              <w:spacing w:after="0" w:line="240" w:lineRule="auto"/>
              <w:ind w:left="0" w:right="0" w:firstLine="0"/>
            </w:pPr>
            <w:r>
              <w:t>Альтернатива 2</w:t>
            </w:r>
          </w:p>
        </w:tc>
        <w:tc>
          <w:tcPr>
            <w:tcW w:w="3741" w:type="dxa"/>
          </w:tcPr>
          <w:p w:rsidR="006B490E" w:rsidRDefault="006B490E" w:rsidP="006B490E">
            <w:pPr>
              <w:spacing w:after="0" w:line="240" w:lineRule="auto"/>
              <w:ind w:left="0" w:right="0" w:firstLine="0"/>
            </w:pPr>
            <w:r>
              <w:t>Прозорість механізму встановлення, нарахування місцевих податків і зборів на території громади. Виконання програм економічного та соціального розвитку громади.</w:t>
            </w:r>
          </w:p>
        </w:tc>
        <w:tc>
          <w:tcPr>
            <w:tcW w:w="3741" w:type="dxa"/>
          </w:tcPr>
          <w:p w:rsidR="006B490E" w:rsidRDefault="006B490E" w:rsidP="006B490E">
            <w:pPr>
              <w:spacing w:after="0" w:line="240" w:lineRule="auto"/>
              <w:ind w:left="0" w:right="0" w:firstLine="0"/>
            </w:pPr>
            <w:r>
              <w:t>Сплата транспортного податку фізичними особами - власниками легкових автомобілів, що є об’єктами оподаткування у розмірах передбачених регуляторним актом.</w:t>
            </w:r>
          </w:p>
        </w:tc>
      </w:tr>
    </w:tbl>
    <w:p w:rsidR="006B490E" w:rsidRDefault="006B490E" w:rsidP="006B490E">
      <w:pPr>
        <w:spacing w:after="0" w:line="240" w:lineRule="auto"/>
        <w:ind w:left="0" w:right="0" w:firstLine="0"/>
      </w:pPr>
    </w:p>
    <w:p w:rsidR="006B490E" w:rsidRDefault="006B490E" w:rsidP="006B490E">
      <w:pPr>
        <w:spacing w:after="0" w:line="240" w:lineRule="auto"/>
        <w:ind w:left="0" w:right="0" w:firstLine="708"/>
      </w:pPr>
      <w:r>
        <w:t xml:space="preserve">Оцінка впливу на сферу інтересів суб’єктів господарювання: </w:t>
      </w:r>
    </w:p>
    <w:p w:rsidR="006B490E" w:rsidRDefault="006B490E" w:rsidP="006B490E">
      <w:pPr>
        <w:spacing w:after="0" w:line="240" w:lineRule="auto"/>
        <w:ind w:left="0" w:right="0" w:firstLine="708"/>
      </w:pPr>
      <w:r>
        <w:t>Визначення кількості суб’єктів господарювання, що підпадають під регулювання.</w:t>
      </w:r>
    </w:p>
    <w:p w:rsidR="006B490E" w:rsidRDefault="006B490E" w:rsidP="006B490E">
      <w:pPr>
        <w:spacing w:after="0" w:line="240" w:lineRule="auto"/>
        <w:ind w:left="0" w:right="0" w:firstLine="708"/>
      </w:pPr>
      <w:r>
        <w:t>На момент підготовки аналізу регуляторного впливу до проекту рішення Рахівської міської ради „Про встановлення ставок із сплати транспортного податку” визначених суб’єктів господарювання, які власниками легкових автомобілів, що є об’єктом оподаткування: 0 (одиниць). В зв’язку з відсутністю суб’єктів господарювання - М-ТЕСТ не проводиться.</w:t>
      </w:r>
    </w:p>
    <w:tbl>
      <w:tblPr>
        <w:tblStyle w:val="a3"/>
        <w:tblW w:w="0" w:type="auto"/>
        <w:tblLook w:val="04A0" w:firstRow="1" w:lastRow="0" w:firstColumn="1" w:lastColumn="0" w:noHBand="0" w:noVBand="1"/>
      </w:tblPr>
      <w:tblGrid>
        <w:gridCol w:w="2405"/>
        <w:gridCol w:w="4025"/>
        <w:gridCol w:w="3741"/>
      </w:tblGrid>
      <w:tr w:rsidR="00450386" w:rsidTr="00450386">
        <w:tc>
          <w:tcPr>
            <w:tcW w:w="2405" w:type="dxa"/>
          </w:tcPr>
          <w:p w:rsidR="00450386" w:rsidRDefault="00450386" w:rsidP="00051ECA">
            <w:pPr>
              <w:spacing w:after="0" w:line="240" w:lineRule="auto"/>
              <w:ind w:left="0" w:right="0" w:firstLine="0"/>
              <w:jc w:val="center"/>
            </w:pPr>
            <w:r>
              <w:lastRenderedPageBreak/>
              <w:t>Вид альтернативи</w:t>
            </w:r>
          </w:p>
        </w:tc>
        <w:tc>
          <w:tcPr>
            <w:tcW w:w="4025" w:type="dxa"/>
          </w:tcPr>
          <w:p w:rsidR="00450386" w:rsidRDefault="00450386" w:rsidP="00051ECA">
            <w:pPr>
              <w:spacing w:after="0" w:line="240" w:lineRule="auto"/>
              <w:ind w:left="0" w:right="0" w:firstLine="0"/>
              <w:jc w:val="center"/>
            </w:pPr>
            <w:r>
              <w:t>Вигода</w:t>
            </w:r>
          </w:p>
        </w:tc>
        <w:tc>
          <w:tcPr>
            <w:tcW w:w="3741" w:type="dxa"/>
          </w:tcPr>
          <w:p w:rsidR="00450386" w:rsidRDefault="00450386" w:rsidP="00051ECA">
            <w:pPr>
              <w:spacing w:after="0" w:line="240" w:lineRule="auto"/>
              <w:ind w:left="0" w:right="0" w:firstLine="0"/>
              <w:jc w:val="center"/>
            </w:pPr>
            <w:r>
              <w:t>Витрати</w:t>
            </w:r>
          </w:p>
        </w:tc>
      </w:tr>
      <w:tr w:rsidR="00450386" w:rsidTr="00450386">
        <w:tc>
          <w:tcPr>
            <w:tcW w:w="2405" w:type="dxa"/>
          </w:tcPr>
          <w:p w:rsidR="00450386" w:rsidRDefault="00450386" w:rsidP="00051ECA">
            <w:pPr>
              <w:spacing w:after="0" w:line="240" w:lineRule="auto"/>
              <w:ind w:left="0" w:right="0" w:firstLine="0"/>
            </w:pPr>
            <w:r>
              <w:t xml:space="preserve">Альтернатива 1 </w:t>
            </w:r>
          </w:p>
        </w:tc>
        <w:tc>
          <w:tcPr>
            <w:tcW w:w="4025" w:type="dxa"/>
          </w:tcPr>
          <w:p w:rsidR="00450386" w:rsidRDefault="00450386" w:rsidP="00051ECA">
            <w:pPr>
              <w:spacing w:after="0" w:line="240" w:lineRule="auto"/>
              <w:ind w:left="0" w:right="0" w:firstLine="0"/>
            </w:pPr>
            <w:r>
              <w:t>Відсутні</w:t>
            </w:r>
          </w:p>
        </w:tc>
        <w:tc>
          <w:tcPr>
            <w:tcW w:w="3741" w:type="dxa"/>
          </w:tcPr>
          <w:p w:rsidR="00450386" w:rsidRDefault="00450386" w:rsidP="00051ECA">
            <w:pPr>
              <w:spacing w:after="0" w:line="240" w:lineRule="auto"/>
              <w:ind w:left="0" w:right="0" w:firstLine="0"/>
            </w:pPr>
            <w:r>
              <w:t>Відсутні</w:t>
            </w:r>
          </w:p>
        </w:tc>
      </w:tr>
      <w:tr w:rsidR="00450386" w:rsidTr="00450386">
        <w:tc>
          <w:tcPr>
            <w:tcW w:w="2405" w:type="dxa"/>
          </w:tcPr>
          <w:p w:rsidR="00450386" w:rsidRDefault="00450386" w:rsidP="00051ECA">
            <w:pPr>
              <w:spacing w:after="0" w:line="240" w:lineRule="auto"/>
              <w:ind w:left="0" w:right="0" w:firstLine="0"/>
            </w:pPr>
            <w:r>
              <w:t>Альтернатива 2</w:t>
            </w:r>
          </w:p>
        </w:tc>
        <w:tc>
          <w:tcPr>
            <w:tcW w:w="4025" w:type="dxa"/>
          </w:tcPr>
          <w:p w:rsidR="00450386" w:rsidRDefault="00450386" w:rsidP="00051ECA">
            <w:pPr>
              <w:spacing w:after="0" w:line="240" w:lineRule="auto"/>
              <w:ind w:left="0" w:right="0" w:firstLine="0"/>
            </w:pPr>
            <w:r>
              <w:t>Прозорість механізму встановлення та справляння транспортного податку в рамках вимог Податкового кодексу України на території громади.</w:t>
            </w:r>
          </w:p>
        </w:tc>
        <w:tc>
          <w:tcPr>
            <w:tcW w:w="3741" w:type="dxa"/>
          </w:tcPr>
          <w:p w:rsidR="00450386" w:rsidRDefault="00450386" w:rsidP="00051ECA">
            <w:pPr>
              <w:spacing w:after="0" w:line="240" w:lineRule="auto"/>
              <w:ind w:left="0" w:right="0" w:firstLine="0"/>
            </w:pPr>
            <w:r>
              <w:t>Сплата транспортного податку у розмірах передбачених регуляторним актом.</w:t>
            </w:r>
          </w:p>
        </w:tc>
      </w:tr>
    </w:tbl>
    <w:p w:rsidR="006B490E" w:rsidRDefault="006B490E" w:rsidP="006B490E">
      <w:pPr>
        <w:spacing w:after="0" w:line="240" w:lineRule="auto"/>
        <w:ind w:left="0" w:right="0" w:firstLine="0"/>
      </w:pPr>
    </w:p>
    <w:p w:rsidR="00450386" w:rsidRDefault="00450386" w:rsidP="00450386">
      <w:pPr>
        <w:spacing w:after="0" w:line="240" w:lineRule="auto"/>
        <w:ind w:left="0" w:right="0" w:firstLine="708"/>
      </w:pPr>
      <w:r>
        <w:t>Витрати суб’єктів господарювання на впровадження регуляторного акту. Додаткові витрат на запровадження державного регулювання для суб’єктів малого підприємництва: відсутні.</w:t>
      </w:r>
    </w:p>
    <w:p w:rsidR="00450386" w:rsidRDefault="00450386" w:rsidP="00450386">
      <w:pPr>
        <w:spacing w:after="0" w:line="240" w:lineRule="auto"/>
        <w:ind w:left="0" w:right="0" w:firstLine="708"/>
      </w:pPr>
    </w:p>
    <w:p w:rsidR="00450386" w:rsidRDefault="00450386" w:rsidP="00450386">
      <w:pPr>
        <w:spacing w:after="0" w:line="240" w:lineRule="auto"/>
        <w:ind w:left="0" w:right="0" w:firstLine="0"/>
        <w:jc w:val="center"/>
        <w:rPr>
          <w:b/>
        </w:rPr>
      </w:pPr>
      <w:r w:rsidRPr="00450386">
        <w:rPr>
          <w:b/>
        </w:rPr>
        <w:t>IV. Вибір найбільш оптимального альтернативного способу досягнення цілей.</w:t>
      </w:r>
    </w:p>
    <w:p w:rsidR="00450386" w:rsidRDefault="00450386" w:rsidP="00450386">
      <w:pPr>
        <w:spacing w:after="0" w:line="240" w:lineRule="auto"/>
        <w:ind w:left="0" w:right="0" w:firstLine="0"/>
      </w:pPr>
    </w:p>
    <w:tbl>
      <w:tblPr>
        <w:tblStyle w:val="a3"/>
        <w:tblW w:w="0" w:type="auto"/>
        <w:tblLook w:val="04A0" w:firstRow="1" w:lastRow="0" w:firstColumn="1" w:lastColumn="0" w:noHBand="0" w:noVBand="1"/>
      </w:tblPr>
      <w:tblGrid>
        <w:gridCol w:w="3390"/>
        <w:gridCol w:w="3390"/>
        <w:gridCol w:w="3391"/>
      </w:tblGrid>
      <w:tr w:rsidR="00450386" w:rsidTr="00450386">
        <w:tc>
          <w:tcPr>
            <w:tcW w:w="3390" w:type="dxa"/>
          </w:tcPr>
          <w:p w:rsidR="00450386" w:rsidRDefault="00450386" w:rsidP="00450386">
            <w:pPr>
              <w:spacing w:after="0" w:line="240" w:lineRule="auto"/>
              <w:ind w:left="-57" w:right="-57" w:firstLine="0"/>
              <w:jc w:val="center"/>
            </w:pPr>
            <w:r>
              <w:t xml:space="preserve">Рейтинг результативності </w:t>
            </w:r>
            <w:r w:rsidRPr="007F079E">
              <w:t>(досягнення ці</w:t>
            </w:r>
            <w:r>
              <w:t>лей під час вирішення проблеми)</w:t>
            </w:r>
          </w:p>
        </w:tc>
        <w:tc>
          <w:tcPr>
            <w:tcW w:w="3390" w:type="dxa"/>
          </w:tcPr>
          <w:p w:rsidR="00450386" w:rsidRDefault="00450386" w:rsidP="00450386">
            <w:pPr>
              <w:spacing w:after="0" w:line="240" w:lineRule="auto"/>
              <w:ind w:left="-57" w:right="-57" w:firstLine="0"/>
              <w:jc w:val="center"/>
            </w:pPr>
            <w:r w:rsidRPr="007F079E">
              <w:t xml:space="preserve">Бал результативності </w:t>
            </w:r>
          </w:p>
          <w:p w:rsidR="00450386" w:rsidRDefault="00450386" w:rsidP="00450386">
            <w:pPr>
              <w:spacing w:after="0" w:line="240" w:lineRule="auto"/>
              <w:ind w:left="-57" w:right="-57" w:firstLine="0"/>
              <w:jc w:val="center"/>
            </w:pPr>
            <w:r w:rsidRPr="007F079E">
              <w:t>(за чотирибальною системою оцінки)</w:t>
            </w:r>
          </w:p>
        </w:tc>
        <w:tc>
          <w:tcPr>
            <w:tcW w:w="3391" w:type="dxa"/>
          </w:tcPr>
          <w:p w:rsidR="00450386" w:rsidRDefault="00450386" w:rsidP="00450386">
            <w:pPr>
              <w:spacing w:after="0" w:line="240" w:lineRule="auto"/>
              <w:ind w:left="-57" w:right="-57" w:firstLine="0"/>
              <w:jc w:val="center"/>
            </w:pPr>
            <w:r w:rsidRPr="007F079E">
              <w:t>Коментарі щодо присвоєння відповідного бала</w:t>
            </w:r>
          </w:p>
        </w:tc>
      </w:tr>
      <w:tr w:rsidR="00450386" w:rsidTr="00450386">
        <w:tc>
          <w:tcPr>
            <w:tcW w:w="3390" w:type="dxa"/>
          </w:tcPr>
          <w:p w:rsidR="00450386" w:rsidRDefault="00450386" w:rsidP="00450386">
            <w:pPr>
              <w:spacing w:after="0" w:line="240" w:lineRule="auto"/>
              <w:ind w:left="0" w:right="0" w:firstLine="0"/>
            </w:pPr>
            <w:r>
              <w:t>Альтернатива 1</w:t>
            </w:r>
          </w:p>
        </w:tc>
        <w:tc>
          <w:tcPr>
            <w:tcW w:w="3390" w:type="dxa"/>
          </w:tcPr>
          <w:p w:rsidR="00450386" w:rsidRDefault="00450386" w:rsidP="00450386">
            <w:pPr>
              <w:spacing w:after="0" w:line="240" w:lineRule="auto"/>
              <w:ind w:left="0" w:right="0" w:firstLine="0"/>
            </w:pPr>
            <w:r>
              <w:t>1 - цілі прийняття регуляторного акта не можуть бути досягнуті (проблема продовжує існувати)</w:t>
            </w:r>
          </w:p>
        </w:tc>
        <w:tc>
          <w:tcPr>
            <w:tcW w:w="3391" w:type="dxa"/>
          </w:tcPr>
          <w:p w:rsidR="00450386" w:rsidRDefault="00450386" w:rsidP="00450386">
            <w:pPr>
              <w:spacing w:after="0" w:line="240" w:lineRule="auto"/>
              <w:ind w:left="0" w:right="0" w:firstLine="0"/>
            </w:pPr>
            <w:r>
              <w:t>Цілі регулювання не можуть бути досягнуті. Не вирішується поставлена проблема. Не прийняття запропонованого регуляторного акту є неприйнятним, оскільки не відповідає вимогам чинного законодавства України. Балансу інтересів не буде досягнуто.</w:t>
            </w:r>
          </w:p>
        </w:tc>
      </w:tr>
      <w:tr w:rsidR="00450386" w:rsidTr="00450386">
        <w:tc>
          <w:tcPr>
            <w:tcW w:w="3390" w:type="dxa"/>
          </w:tcPr>
          <w:p w:rsidR="00450386" w:rsidRDefault="00450386" w:rsidP="00450386">
            <w:pPr>
              <w:spacing w:after="0" w:line="240" w:lineRule="auto"/>
              <w:ind w:left="0" w:right="0" w:firstLine="0"/>
            </w:pPr>
            <w:r>
              <w:t>Альтернатива 2</w:t>
            </w:r>
          </w:p>
        </w:tc>
        <w:tc>
          <w:tcPr>
            <w:tcW w:w="3390" w:type="dxa"/>
          </w:tcPr>
          <w:p w:rsidR="00450386" w:rsidRDefault="00450386" w:rsidP="00450386">
            <w:pPr>
              <w:spacing w:after="0" w:line="240" w:lineRule="auto"/>
              <w:ind w:left="0" w:right="0" w:firstLine="0"/>
            </w:pPr>
            <w:r>
              <w:t>4 - цілі прийняття проекту регуляторного акта можуть бути досягнуті майже повною мірою (усі важливі аспекти проблеми існувати не будуть).</w:t>
            </w:r>
          </w:p>
        </w:tc>
        <w:tc>
          <w:tcPr>
            <w:tcW w:w="3391" w:type="dxa"/>
          </w:tcPr>
          <w:p w:rsidR="00450386" w:rsidRDefault="00450386" w:rsidP="00450386">
            <w:pPr>
              <w:spacing w:after="0" w:line="240" w:lineRule="auto"/>
              <w:ind w:left="0" w:right="0" w:firstLine="0"/>
            </w:pPr>
            <w:r>
              <w:t xml:space="preserve">Прийняття даного рішення міської ради забезпечить вирішення проблемних питань, досягнення встановлених цілей, чітких та прозорих механізмів справляння та сплати транспортного податку на території громади та відповідне наповнення бюджету міської територіальної громади. Буде досягнуто </w:t>
            </w:r>
            <w:r>
              <w:lastRenderedPageBreak/>
              <w:t>балансу інтересів громади, суб'єктів господарювання, громадян</w:t>
            </w:r>
          </w:p>
        </w:tc>
      </w:tr>
    </w:tbl>
    <w:p w:rsidR="00450386" w:rsidRDefault="00450386" w:rsidP="00450386">
      <w:pPr>
        <w:spacing w:after="0" w:line="240" w:lineRule="auto"/>
        <w:ind w:left="0" w:right="0" w:firstLine="0"/>
      </w:pPr>
    </w:p>
    <w:tbl>
      <w:tblPr>
        <w:tblStyle w:val="a3"/>
        <w:tblW w:w="0" w:type="auto"/>
        <w:tblLook w:val="04A0" w:firstRow="1" w:lastRow="0" w:firstColumn="1" w:lastColumn="0" w:noHBand="0" w:noVBand="1"/>
      </w:tblPr>
      <w:tblGrid>
        <w:gridCol w:w="2264"/>
        <w:gridCol w:w="2635"/>
        <w:gridCol w:w="2636"/>
        <w:gridCol w:w="2636"/>
      </w:tblGrid>
      <w:tr w:rsidR="00450386" w:rsidTr="00D76B24">
        <w:tc>
          <w:tcPr>
            <w:tcW w:w="2264" w:type="dxa"/>
          </w:tcPr>
          <w:p w:rsidR="00450386" w:rsidRDefault="00450386" w:rsidP="00450386">
            <w:pPr>
              <w:spacing w:after="0" w:line="240" w:lineRule="auto"/>
              <w:ind w:left="0" w:right="0" w:firstLine="0"/>
              <w:jc w:val="center"/>
            </w:pPr>
            <w:r>
              <w:t>Рейтинг результативності</w:t>
            </w:r>
          </w:p>
        </w:tc>
        <w:tc>
          <w:tcPr>
            <w:tcW w:w="2635" w:type="dxa"/>
          </w:tcPr>
          <w:p w:rsidR="00450386" w:rsidRDefault="00450386" w:rsidP="00D76B24">
            <w:pPr>
              <w:spacing w:after="0" w:line="240" w:lineRule="auto"/>
              <w:ind w:left="-113" w:right="-113" w:firstLine="0"/>
              <w:jc w:val="center"/>
            </w:pPr>
            <w:r>
              <w:t xml:space="preserve">Вигоди </w:t>
            </w:r>
          </w:p>
          <w:p w:rsidR="00450386" w:rsidRDefault="00450386" w:rsidP="00D76B24">
            <w:pPr>
              <w:spacing w:after="0" w:line="240" w:lineRule="auto"/>
              <w:ind w:left="-113" w:right="-113" w:firstLine="0"/>
              <w:jc w:val="center"/>
            </w:pPr>
            <w:r>
              <w:t>(підсумок)</w:t>
            </w:r>
          </w:p>
        </w:tc>
        <w:tc>
          <w:tcPr>
            <w:tcW w:w="2636" w:type="dxa"/>
          </w:tcPr>
          <w:p w:rsidR="00450386" w:rsidRDefault="00450386" w:rsidP="00D76B24">
            <w:pPr>
              <w:spacing w:after="0" w:line="240" w:lineRule="auto"/>
              <w:ind w:left="-113" w:right="-113" w:firstLine="0"/>
              <w:jc w:val="center"/>
            </w:pPr>
            <w:r>
              <w:t>Витрати (підсумок)</w:t>
            </w:r>
          </w:p>
        </w:tc>
        <w:tc>
          <w:tcPr>
            <w:tcW w:w="2636" w:type="dxa"/>
          </w:tcPr>
          <w:p w:rsidR="00450386" w:rsidRDefault="00450386" w:rsidP="00D76B24">
            <w:pPr>
              <w:spacing w:after="0" w:line="240" w:lineRule="auto"/>
              <w:ind w:left="-113" w:right="-113" w:firstLine="0"/>
              <w:jc w:val="center"/>
            </w:pPr>
            <w:r>
              <w:t>Обґрунтування відповідного місця альтернативи у рейтингу</w:t>
            </w:r>
          </w:p>
        </w:tc>
      </w:tr>
      <w:tr w:rsidR="00450386" w:rsidTr="00D76B24">
        <w:tc>
          <w:tcPr>
            <w:tcW w:w="2264" w:type="dxa"/>
          </w:tcPr>
          <w:p w:rsidR="00450386" w:rsidRDefault="00450386" w:rsidP="00450386">
            <w:pPr>
              <w:spacing w:after="0" w:line="240" w:lineRule="auto"/>
              <w:ind w:left="0" w:right="0" w:firstLine="0"/>
            </w:pPr>
            <w:r>
              <w:t>Альтернатива 1</w:t>
            </w:r>
          </w:p>
        </w:tc>
        <w:tc>
          <w:tcPr>
            <w:tcW w:w="2635" w:type="dxa"/>
          </w:tcPr>
          <w:p w:rsidR="00450386" w:rsidRPr="00D76B24" w:rsidRDefault="00450386" w:rsidP="00D76B24">
            <w:pPr>
              <w:spacing w:after="0" w:line="240" w:lineRule="auto"/>
              <w:ind w:left="-113" w:right="-113" w:firstLine="0"/>
              <w:jc w:val="center"/>
              <w:rPr>
                <w:u w:val="single"/>
              </w:rPr>
            </w:pPr>
            <w:r w:rsidRPr="00D76B24">
              <w:rPr>
                <w:u w:val="single"/>
              </w:rPr>
              <w:t>Держава</w:t>
            </w:r>
            <w:r w:rsidR="00D76B24">
              <w:rPr>
                <w:u w:val="single"/>
              </w:rPr>
              <w:t>:</w:t>
            </w:r>
          </w:p>
          <w:p w:rsidR="00450386" w:rsidRDefault="00D76B24" w:rsidP="00D76B24">
            <w:pPr>
              <w:spacing w:after="0" w:line="240" w:lineRule="auto"/>
              <w:ind w:left="-113" w:right="-113" w:firstLine="0"/>
              <w:jc w:val="center"/>
            </w:pPr>
            <w:r>
              <w:t>В</w:t>
            </w:r>
            <w:r w:rsidR="00450386">
              <w:t>ідсутні</w:t>
            </w:r>
          </w:p>
          <w:p w:rsidR="00D76B24" w:rsidRDefault="00D76B24" w:rsidP="00D76B24">
            <w:pPr>
              <w:spacing w:after="0" w:line="240" w:lineRule="auto"/>
              <w:ind w:left="-113" w:right="-113" w:firstLine="0"/>
              <w:jc w:val="center"/>
              <w:rPr>
                <w:u w:val="single"/>
              </w:rPr>
            </w:pPr>
          </w:p>
          <w:p w:rsidR="00D76B24" w:rsidRPr="00D76B24" w:rsidRDefault="00D76B24" w:rsidP="00D76B24">
            <w:pPr>
              <w:spacing w:after="0" w:line="240" w:lineRule="auto"/>
              <w:ind w:left="-113" w:right="-113" w:firstLine="0"/>
              <w:jc w:val="center"/>
              <w:rPr>
                <w:u w:val="single"/>
              </w:rPr>
            </w:pPr>
            <w:r w:rsidRPr="00D76B24">
              <w:rPr>
                <w:u w:val="single"/>
              </w:rPr>
              <w:t>Громадяни</w:t>
            </w:r>
            <w:r>
              <w:rPr>
                <w:u w:val="single"/>
              </w:rPr>
              <w:t>:</w:t>
            </w:r>
          </w:p>
          <w:p w:rsidR="00D76B24" w:rsidRDefault="00D76B24" w:rsidP="00D76B24">
            <w:pPr>
              <w:spacing w:after="0" w:line="240" w:lineRule="auto"/>
              <w:ind w:left="-113" w:right="-113" w:firstLine="0"/>
              <w:jc w:val="center"/>
            </w:pPr>
            <w:r>
              <w:t>Відсутні</w:t>
            </w:r>
          </w:p>
          <w:p w:rsidR="00D76B24" w:rsidRDefault="00D76B24" w:rsidP="00D76B24">
            <w:pPr>
              <w:spacing w:after="0" w:line="240" w:lineRule="auto"/>
              <w:ind w:left="-113" w:right="-113" w:firstLine="0"/>
              <w:jc w:val="center"/>
              <w:rPr>
                <w:u w:val="single"/>
              </w:rPr>
            </w:pPr>
          </w:p>
          <w:p w:rsidR="00D76B24" w:rsidRPr="00D76B24" w:rsidRDefault="00D76B24" w:rsidP="00D76B24">
            <w:pPr>
              <w:spacing w:after="0" w:line="240" w:lineRule="auto"/>
              <w:ind w:left="-113" w:right="-113" w:firstLine="0"/>
              <w:jc w:val="center"/>
              <w:rPr>
                <w:u w:val="single"/>
              </w:rPr>
            </w:pPr>
            <w:r w:rsidRPr="00D76B24">
              <w:rPr>
                <w:u w:val="single"/>
              </w:rPr>
              <w:t>Суб’єкти господарювання</w:t>
            </w:r>
            <w:r>
              <w:rPr>
                <w:u w:val="single"/>
              </w:rPr>
              <w:t>:</w:t>
            </w:r>
          </w:p>
          <w:p w:rsidR="00D76B24" w:rsidRDefault="00D76B24" w:rsidP="00D76B24">
            <w:pPr>
              <w:spacing w:after="0" w:line="240" w:lineRule="auto"/>
              <w:ind w:left="-113" w:right="-113" w:firstLine="0"/>
              <w:jc w:val="center"/>
            </w:pPr>
            <w:r>
              <w:t>Відсутні</w:t>
            </w:r>
          </w:p>
        </w:tc>
        <w:tc>
          <w:tcPr>
            <w:tcW w:w="2636" w:type="dxa"/>
          </w:tcPr>
          <w:p w:rsidR="00D76B24" w:rsidRPr="00D76B24" w:rsidRDefault="00D76B24" w:rsidP="00D76B24">
            <w:pPr>
              <w:spacing w:after="0" w:line="240" w:lineRule="auto"/>
              <w:ind w:left="-113" w:right="-113" w:firstLine="0"/>
              <w:jc w:val="center"/>
              <w:rPr>
                <w:u w:val="single"/>
                <w:lang w:val="ru-RU"/>
              </w:rPr>
            </w:pPr>
            <w:r w:rsidRPr="00D76B24">
              <w:rPr>
                <w:u w:val="single"/>
              </w:rPr>
              <w:t>Держава</w:t>
            </w:r>
            <w:r>
              <w:rPr>
                <w:u w:val="single"/>
              </w:rPr>
              <w:t>:</w:t>
            </w:r>
          </w:p>
          <w:p w:rsidR="00D76B24" w:rsidRDefault="00D76B24" w:rsidP="00D76B24">
            <w:pPr>
              <w:spacing w:after="0" w:line="240" w:lineRule="auto"/>
              <w:ind w:left="-113" w:right="-113" w:firstLine="0"/>
              <w:jc w:val="center"/>
            </w:pPr>
            <w:r>
              <w:t>Відсутні</w:t>
            </w:r>
          </w:p>
          <w:p w:rsidR="00D76B24" w:rsidRDefault="00D76B24" w:rsidP="00D76B24">
            <w:pPr>
              <w:spacing w:after="0" w:line="240" w:lineRule="auto"/>
              <w:ind w:left="-113" w:right="-113" w:firstLine="0"/>
              <w:jc w:val="center"/>
              <w:rPr>
                <w:u w:val="single"/>
              </w:rPr>
            </w:pPr>
          </w:p>
          <w:p w:rsidR="00D76B24" w:rsidRPr="00D76B24" w:rsidRDefault="00D76B24" w:rsidP="00D76B24">
            <w:pPr>
              <w:spacing w:after="0" w:line="240" w:lineRule="auto"/>
              <w:ind w:left="-113" w:right="-113" w:firstLine="0"/>
              <w:jc w:val="center"/>
              <w:rPr>
                <w:u w:val="single"/>
              </w:rPr>
            </w:pPr>
            <w:r w:rsidRPr="00D76B24">
              <w:rPr>
                <w:u w:val="single"/>
              </w:rPr>
              <w:t>Громадяни</w:t>
            </w:r>
            <w:r>
              <w:rPr>
                <w:u w:val="single"/>
              </w:rPr>
              <w:t>:</w:t>
            </w:r>
          </w:p>
          <w:p w:rsidR="00D76B24" w:rsidRDefault="00D76B24" w:rsidP="00D76B24">
            <w:pPr>
              <w:spacing w:after="0" w:line="240" w:lineRule="auto"/>
              <w:ind w:left="-113" w:right="-113" w:firstLine="0"/>
              <w:jc w:val="center"/>
            </w:pPr>
            <w:r>
              <w:t>Відсутні</w:t>
            </w:r>
          </w:p>
          <w:p w:rsidR="00D76B24" w:rsidRDefault="00D76B24" w:rsidP="00D76B24">
            <w:pPr>
              <w:spacing w:after="0" w:line="240" w:lineRule="auto"/>
              <w:ind w:left="-113" w:right="-113" w:firstLine="0"/>
              <w:jc w:val="center"/>
              <w:rPr>
                <w:u w:val="single"/>
              </w:rPr>
            </w:pPr>
          </w:p>
          <w:p w:rsidR="00D76B24" w:rsidRPr="00D76B24" w:rsidRDefault="00D76B24" w:rsidP="00D76B24">
            <w:pPr>
              <w:spacing w:after="0" w:line="240" w:lineRule="auto"/>
              <w:ind w:left="-113" w:right="-113" w:firstLine="0"/>
              <w:jc w:val="center"/>
              <w:rPr>
                <w:u w:val="single"/>
              </w:rPr>
            </w:pPr>
            <w:r w:rsidRPr="00D76B24">
              <w:rPr>
                <w:u w:val="single"/>
              </w:rPr>
              <w:t>Суб’єкти господарювання</w:t>
            </w:r>
            <w:r>
              <w:rPr>
                <w:u w:val="single"/>
              </w:rPr>
              <w:t>:</w:t>
            </w:r>
          </w:p>
          <w:p w:rsidR="00450386" w:rsidRDefault="00D76B24" w:rsidP="00D76B24">
            <w:pPr>
              <w:spacing w:after="0" w:line="240" w:lineRule="auto"/>
              <w:ind w:left="-113" w:right="-113" w:firstLine="0"/>
              <w:jc w:val="center"/>
            </w:pPr>
            <w:r>
              <w:t>Відсутні</w:t>
            </w:r>
          </w:p>
        </w:tc>
        <w:tc>
          <w:tcPr>
            <w:tcW w:w="2636" w:type="dxa"/>
          </w:tcPr>
          <w:p w:rsidR="00450386" w:rsidRDefault="00D76B24" w:rsidP="00D76B24">
            <w:pPr>
              <w:spacing w:after="0" w:line="240" w:lineRule="auto"/>
              <w:ind w:left="-113" w:right="-113" w:firstLine="0"/>
              <w:jc w:val="center"/>
            </w:pPr>
            <w:r>
              <w:t>Не забезпечує вирішення проблеми, поставлених задач, досягнення цілей надходження до бюджету міської територіальної громади, підвищення соціальної напруги в наслідок незабезпечення належного рівня якості життя жителів громади, не виконання програм економічного і соціального розвитку громади.</w:t>
            </w:r>
          </w:p>
        </w:tc>
      </w:tr>
      <w:tr w:rsidR="00450386" w:rsidTr="00D76B24">
        <w:tc>
          <w:tcPr>
            <w:tcW w:w="2264" w:type="dxa"/>
          </w:tcPr>
          <w:p w:rsidR="00450386" w:rsidRDefault="00450386" w:rsidP="00450386">
            <w:pPr>
              <w:spacing w:after="0" w:line="240" w:lineRule="auto"/>
              <w:ind w:left="0" w:right="0" w:firstLine="0"/>
            </w:pPr>
            <w:r>
              <w:t>Альтернатива 2</w:t>
            </w:r>
          </w:p>
        </w:tc>
        <w:tc>
          <w:tcPr>
            <w:tcW w:w="2635" w:type="dxa"/>
          </w:tcPr>
          <w:p w:rsidR="00D76B24" w:rsidRDefault="00D76B24" w:rsidP="00D76B24">
            <w:pPr>
              <w:spacing w:after="0" w:line="240" w:lineRule="auto"/>
              <w:ind w:left="-113" w:right="-113" w:firstLine="0"/>
              <w:jc w:val="center"/>
            </w:pPr>
            <w:r w:rsidRPr="00D76B24">
              <w:rPr>
                <w:u w:val="single"/>
              </w:rPr>
              <w:t>Держава:</w:t>
            </w:r>
            <w:r>
              <w:t xml:space="preserve"> Забезпечення дотримання вимог Податкового кодексу України, реалізація повноважень наданих органам місцевого самоврядування. Забезпечення відповідних надходження до бюджету міської територіальної громади від сплати транспортного податку.</w:t>
            </w:r>
          </w:p>
          <w:p w:rsidR="00D76B24" w:rsidRPr="00D76B24" w:rsidRDefault="00D76B24" w:rsidP="00D76B24">
            <w:pPr>
              <w:spacing w:after="0" w:line="240" w:lineRule="auto"/>
              <w:ind w:left="-113" w:right="-113" w:firstLine="0"/>
              <w:jc w:val="center"/>
              <w:rPr>
                <w:u w:val="single"/>
              </w:rPr>
            </w:pPr>
            <w:r w:rsidRPr="00D76B24">
              <w:rPr>
                <w:u w:val="single"/>
              </w:rPr>
              <w:t xml:space="preserve">Громадяни: </w:t>
            </w:r>
          </w:p>
          <w:p w:rsidR="00D76B24" w:rsidRDefault="00D76B24" w:rsidP="00D76B24">
            <w:pPr>
              <w:spacing w:after="0" w:line="240" w:lineRule="auto"/>
              <w:ind w:left="-113" w:right="-113" w:firstLine="0"/>
              <w:jc w:val="center"/>
            </w:pPr>
            <w:r>
              <w:lastRenderedPageBreak/>
              <w:t>Прозорість механізму встановлення, нарахування місцевих податків і зборів на території громади. Виконання програм економічного та соціального розвитку громади.</w:t>
            </w:r>
          </w:p>
          <w:p w:rsidR="00D76B24" w:rsidRPr="00D76B24" w:rsidRDefault="00D76B24" w:rsidP="00D76B24">
            <w:pPr>
              <w:spacing w:after="0" w:line="240" w:lineRule="auto"/>
              <w:ind w:left="-113" w:right="-113" w:firstLine="0"/>
              <w:jc w:val="center"/>
              <w:rPr>
                <w:u w:val="single"/>
              </w:rPr>
            </w:pPr>
            <w:r w:rsidRPr="00D76B24">
              <w:rPr>
                <w:u w:val="single"/>
              </w:rPr>
              <w:t xml:space="preserve">Суб’єкти господарювання: </w:t>
            </w:r>
          </w:p>
          <w:p w:rsidR="00D76B24" w:rsidRDefault="00D76B24" w:rsidP="00D76B24">
            <w:pPr>
              <w:spacing w:after="0" w:line="240" w:lineRule="auto"/>
              <w:ind w:left="-113" w:right="-113" w:firstLine="0"/>
              <w:jc w:val="center"/>
            </w:pPr>
            <w:r>
              <w:t>Прозорість механізму встановлення та справляння транспортного податку в рамках вимог Податкового кодексу України на території громади.</w:t>
            </w:r>
          </w:p>
        </w:tc>
        <w:tc>
          <w:tcPr>
            <w:tcW w:w="2636" w:type="dxa"/>
          </w:tcPr>
          <w:p w:rsidR="00D76B24" w:rsidRPr="00D76B24" w:rsidRDefault="00D76B24" w:rsidP="00D76B24">
            <w:pPr>
              <w:spacing w:after="0" w:line="240" w:lineRule="auto"/>
              <w:ind w:left="-113" w:right="-113" w:firstLine="0"/>
              <w:jc w:val="center"/>
              <w:rPr>
                <w:u w:val="single"/>
              </w:rPr>
            </w:pPr>
            <w:r w:rsidRPr="00D76B24">
              <w:rPr>
                <w:u w:val="single"/>
              </w:rPr>
              <w:lastRenderedPageBreak/>
              <w:t>Держава:</w:t>
            </w:r>
          </w:p>
          <w:p w:rsidR="00935C21" w:rsidRDefault="00D76B24" w:rsidP="00D76B24">
            <w:pPr>
              <w:spacing w:after="0" w:line="240" w:lineRule="auto"/>
              <w:ind w:left="-113" w:right="-113" w:firstLine="0"/>
              <w:jc w:val="center"/>
            </w:pPr>
            <w:r>
              <w:t xml:space="preserve">Витрати пов’язані з підготовкою регуляторного акту, проведення </w:t>
            </w:r>
            <w:r w:rsidR="00935C21">
              <w:t>відстеження</w:t>
            </w:r>
            <w:r>
              <w:t xml:space="preserve"> результативності регуляторн</w:t>
            </w:r>
            <w:r w:rsidR="00935C21">
              <w:t>ого акта, проведення процедур з оприлю</w:t>
            </w:r>
            <w:r>
              <w:t xml:space="preserve">днення регуляторного акта. </w:t>
            </w:r>
          </w:p>
          <w:p w:rsidR="00935C21" w:rsidRPr="00935C21" w:rsidRDefault="00D76B24" w:rsidP="00D76B24">
            <w:pPr>
              <w:spacing w:after="0" w:line="240" w:lineRule="auto"/>
              <w:ind w:left="-113" w:right="-113" w:firstLine="0"/>
              <w:jc w:val="center"/>
              <w:rPr>
                <w:u w:val="single"/>
              </w:rPr>
            </w:pPr>
            <w:r w:rsidRPr="00935C21">
              <w:rPr>
                <w:u w:val="single"/>
              </w:rPr>
              <w:t xml:space="preserve">Громадяни: </w:t>
            </w:r>
          </w:p>
          <w:p w:rsidR="00450386" w:rsidRDefault="00D76B24" w:rsidP="00D76B24">
            <w:pPr>
              <w:spacing w:after="0" w:line="240" w:lineRule="auto"/>
              <w:ind w:left="-113" w:right="-113" w:firstLine="0"/>
              <w:jc w:val="center"/>
            </w:pPr>
            <w:r>
              <w:t xml:space="preserve">Сплата транспортного податку фізичними особами - власниками легкових автомобілів, </w:t>
            </w:r>
            <w:r>
              <w:lastRenderedPageBreak/>
              <w:t>що є</w:t>
            </w:r>
            <w:r w:rsidR="00935C21">
              <w:t xml:space="preserve"> об’єктами оподаткування у розм</w:t>
            </w:r>
            <w:r>
              <w:t>ірах передбачених регуляторним актом.</w:t>
            </w:r>
          </w:p>
          <w:p w:rsidR="00935C21" w:rsidRDefault="00935C21" w:rsidP="00D76B24">
            <w:pPr>
              <w:spacing w:after="0" w:line="240" w:lineRule="auto"/>
              <w:ind w:left="-113" w:right="-113" w:firstLine="0"/>
              <w:jc w:val="center"/>
            </w:pPr>
            <w:r w:rsidRPr="00935C21">
              <w:rPr>
                <w:u w:val="single"/>
              </w:rPr>
              <w:t>Суб’єкти господарювання:</w:t>
            </w:r>
            <w:r>
              <w:t xml:space="preserve"> Сплата транспортного податку у розмірах передбачених регуляторним актом.</w:t>
            </w:r>
          </w:p>
        </w:tc>
        <w:tc>
          <w:tcPr>
            <w:tcW w:w="2636" w:type="dxa"/>
          </w:tcPr>
          <w:p w:rsidR="00450386" w:rsidRDefault="00935C21" w:rsidP="00935C21">
            <w:pPr>
              <w:spacing w:after="0" w:line="240" w:lineRule="auto"/>
              <w:ind w:left="-113" w:right="-113" w:firstLine="0"/>
              <w:jc w:val="center"/>
            </w:pPr>
            <w:r>
              <w:lastRenderedPageBreak/>
              <w:t>Вирішення всіх проблем, поставлених задач, досягнення цілей. Наповнення бюджету міської територіальної громади. Виконання програм економічного та соціального розвитку громади.</w:t>
            </w:r>
          </w:p>
        </w:tc>
      </w:tr>
    </w:tbl>
    <w:p w:rsidR="00450386" w:rsidRDefault="00450386" w:rsidP="00450386">
      <w:pPr>
        <w:spacing w:after="0" w:line="240" w:lineRule="auto"/>
        <w:ind w:left="0" w:right="0" w:firstLine="0"/>
      </w:pPr>
    </w:p>
    <w:tbl>
      <w:tblPr>
        <w:tblStyle w:val="a3"/>
        <w:tblW w:w="0" w:type="auto"/>
        <w:tblLook w:val="04A0" w:firstRow="1" w:lastRow="0" w:firstColumn="1" w:lastColumn="0" w:noHBand="0" w:noVBand="1"/>
      </w:tblPr>
      <w:tblGrid>
        <w:gridCol w:w="2405"/>
        <w:gridCol w:w="3883"/>
        <w:gridCol w:w="3883"/>
      </w:tblGrid>
      <w:tr w:rsidR="00247A53" w:rsidTr="00465867">
        <w:trPr>
          <w:tblHeader/>
        </w:trPr>
        <w:tc>
          <w:tcPr>
            <w:tcW w:w="2405" w:type="dxa"/>
          </w:tcPr>
          <w:p w:rsidR="00247A53" w:rsidRDefault="00247A53" w:rsidP="00247A53">
            <w:pPr>
              <w:spacing w:after="0" w:line="240" w:lineRule="auto"/>
              <w:ind w:left="0" w:right="0" w:firstLine="0"/>
              <w:jc w:val="center"/>
            </w:pPr>
            <w:r>
              <w:t>Рейтинг</w:t>
            </w:r>
          </w:p>
        </w:tc>
        <w:tc>
          <w:tcPr>
            <w:tcW w:w="3883" w:type="dxa"/>
          </w:tcPr>
          <w:p w:rsidR="00247A53" w:rsidRDefault="00247A53" w:rsidP="00247A53">
            <w:pPr>
              <w:spacing w:after="0" w:line="240" w:lineRule="auto"/>
              <w:ind w:left="0" w:right="0" w:firstLine="0"/>
              <w:jc w:val="center"/>
            </w:pPr>
            <w:r>
              <w:t>Аргументи щодо переваги обраної альтернативи / причини відмови від альтернативи</w:t>
            </w:r>
          </w:p>
        </w:tc>
        <w:tc>
          <w:tcPr>
            <w:tcW w:w="3883" w:type="dxa"/>
          </w:tcPr>
          <w:p w:rsidR="00247A53" w:rsidRDefault="00247A53" w:rsidP="00247A53">
            <w:pPr>
              <w:spacing w:after="0" w:line="240" w:lineRule="auto"/>
              <w:ind w:left="0" w:right="0" w:firstLine="0"/>
              <w:jc w:val="center"/>
            </w:pPr>
            <w:r>
              <w:t>Оцінка ризику зовнішніх чинників на дію запропонованого регуляторного акта</w:t>
            </w:r>
          </w:p>
        </w:tc>
      </w:tr>
      <w:tr w:rsidR="00247A53" w:rsidTr="00247A53">
        <w:tc>
          <w:tcPr>
            <w:tcW w:w="2405" w:type="dxa"/>
          </w:tcPr>
          <w:p w:rsidR="00247A53" w:rsidRDefault="00247A53" w:rsidP="00450386">
            <w:pPr>
              <w:spacing w:after="0" w:line="240" w:lineRule="auto"/>
              <w:ind w:left="0" w:right="0" w:firstLine="0"/>
            </w:pPr>
            <w:r>
              <w:t>Альтернатива 1</w:t>
            </w:r>
          </w:p>
        </w:tc>
        <w:tc>
          <w:tcPr>
            <w:tcW w:w="3883" w:type="dxa"/>
          </w:tcPr>
          <w:p w:rsidR="00247A53" w:rsidRDefault="00247A53" w:rsidP="00247A53">
            <w:pPr>
              <w:spacing w:after="0" w:line="240" w:lineRule="auto"/>
              <w:ind w:left="0" w:right="0" w:firstLine="0"/>
            </w:pPr>
            <w:r>
              <w:t xml:space="preserve">Не вирішує поставлену проблему. Альтернатива є неприйнятною, оскільки чинним законодавством покладено на органи місцевого самоврядування обов’язок із встановлення транспортного податку на відповідний бюджетний період. Втрати дохідної частини бюджету об’єднаної територіальної громади, не виконання в повній мірі програм економічного та соціального розвитку громади. </w:t>
            </w:r>
            <w:proofErr w:type="spellStart"/>
            <w:r>
              <w:t>Недосягається</w:t>
            </w:r>
            <w:proofErr w:type="spellEnd"/>
            <w:r>
              <w:t xml:space="preserve"> баланс інтересів держави, громадян, суб’єктів господарювання.</w:t>
            </w:r>
          </w:p>
        </w:tc>
        <w:tc>
          <w:tcPr>
            <w:tcW w:w="3883" w:type="dxa"/>
          </w:tcPr>
          <w:p w:rsidR="00247A53" w:rsidRDefault="00247A53" w:rsidP="00247A53">
            <w:pPr>
              <w:spacing w:after="0" w:line="240" w:lineRule="auto"/>
              <w:ind w:left="0" w:right="0" w:firstLine="0"/>
              <w:jc w:val="center"/>
            </w:pPr>
            <w:r>
              <w:t>Х</w:t>
            </w:r>
          </w:p>
        </w:tc>
      </w:tr>
      <w:tr w:rsidR="00247A53" w:rsidTr="00247A53">
        <w:tc>
          <w:tcPr>
            <w:tcW w:w="2405" w:type="dxa"/>
          </w:tcPr>
          <w:p w:rsidR="00247A53" w:rsidRDefault="00247A53" w:rsidP="00450386">
            <w:pPr>
              <w:spacing w:after="0" w:line="240" w:lineRule="auto"/>
              <w:ind w:left="0" w:right="0" w:firstLine="0"/>
            </w:pPr>
            <w:r>
              <w:lastRenderedPageBreak/>
              <w:t>Альтернатива 2</w:t>
            </w:r>
          </w:p>
        </w:tc>
        <w:tc>
          <w:tcPr>
            <w:tcW w:w="3883" w:type="dxa"/>
          </w:tcPr>
          <w:p w:rsidR="00247A53" w:rsidRDefault="00247A53" w:rsidP="00465867">
            <w:pPr>
              <w:spacing w:after="0" w:line="240" w:lineRule="auto"/>
              <w:ind w:left="0" w:right="0" w:firstLine="0"/>
            </w:pPr>
            <w:r>
              <w:t>Переваги обраної альтернативи - вирішення всіх проблем та поставлених задач. Цілі прийняття проекту рішення „Про встановлення ставок із сплати транспортного податку” будуть досягнуті майже у повній мірі. До бюджету міської територіальної громади надійдуть додаткові кошти від сплати податку. Прийняття ставки транспортного податку не створюватиме податкового навантаження на його платників. Таким чином, з прийняттям даного рішення буде досягнуто балансу інтересів держави, громадян, суб’єктів господарювання.</w:t>
            </w:r>
          </w:p>
        </w:tc>
        <w:tc>
          <w:tcPr>
            <w:tcW w:w="3883" w:type="dxa"/>
          </w:tcPr>
          <w:p w:rsidR="00465867" w:rsidRDefault="00465867" w:rsidP="00465867">
            <w:pPr>
              <w:spacing w:after="0" w:line="240" w:lineRule="auto"/>
              <w:ind w:left="0" w:right="0" w:firstLine="0"/>
              <w:jc w:val="center"/>
            </w:pPr>
            <w:r>
              <w:t xml:space="preserve">Зміни до чинного законодавства: </w:t>
            </w:r>
          </w:p>
          <w:p w:rsidR="00465867" w:rsidRDefault="00465867" w:rsidP="00465867">
            <w:pPr>
              <w:spacing w:after="0" w:line="240" w:lineRule="auto"/>
              <w:ind w:left="0" w:right="0" w:firstLine="0"/>
              <w:jc w:val="center"/>
            </w:pPr>
            <w:r>
              <w:t xml:space="preserve">- Податкового кодексу України; </w:t>
            </w:r>
          </w:p>
          <w:p w:rsidR="00465867" w:rsidRDefault="00465867" w:rsidP="00465867">
            <w:pPr>
              <w:spacing w:after="0" w:line="240" w:lineRule="auto"/>
              <w:ind w:left="0" w:right="0" w:firstLine="0"/>
              <w:jc w:val="center"/>
            </w:pPr>
            <w:r>
              <w:t xml:space="preserve">- Бюджетного кодексу України; </w:t>
            </w:r>
          </w:p>
          <w:p w:rsidR="00247A53" w:rsidRDefault="00465867" w:rsidP="00465867">
            <w:pPr>
              <w:spacing w:after="0" w:line="240" w:lineRule="auto"/>
              <w:ind w:left="0" w:right="0" w:firstLine="0"/>
              <w:jc w:val="center"/>
            </w:pPr>
            <w:r>
              <w:t>- інших законів та нормативно-правових актів</w:t>
            </w:r>
          </w:p>
        </w:tc>
      </w:tr>
    </w:tbl>
    <w:p w:rsidR="00935C21" w:rsidRDefault="00935C21" w:rsidP="00450386">
      <w:pPr>
        <w:spacing w:after="0" w:line="240" w:lineRule="auto"/>
        <w:ind w:left="0" w:right="0" w:firstLine="0"/>
      </w:pPr>
    </w:p>
    <w:p w:rsidR="00465867" w:rsidRDefault="00465867" w:rsidP="00465867">
      <w:pPr>
        <w:spacing w:after="0" w:line="240" w:lineRule="auto"/>
        <w:ind w:left="0" w:right="0" w:firstLine="708"/>
      </w:pPr>
      <w:r>
        <w:t>Таким чином для реалізації обрано Альтернативу 2 - встановлення транспортного податку на території Рахівської міської територіальної громади, буде посильним для платників збору, та забезпечить фінансову основу самостійності органу місцевого самоврядування – Рахівської міської ради.</w:t>
      </w:r>
    </w:p>
    <w:p w:rsidR="00465867" w:rsidRDefault="00465867" w:rsidP="00450386">
      <w:pPr>
        <w:spacing w:after="0" w:line="240" w:lineRule="auto"/>
        <w:ind w:left="0" w:right="0" w:firstLine="0"/>
      </w:pPr>
    </w:p>
    <w:p w:rsidR="00465867" w:rsidRPr="00465867" w:rsidRDefault="00465867" w:rsidP="00465867">
      <w:pPr>
        <w:spacing w:after="0" w:line="240" w:lineRule="auto"/>
        <w:ind w:left="0" w:right="0" w:firstLine="0"/>
        <w:jc w:val="center"/>
        <w:rPr>
          <w:b/>
        </w:rPr>
      </w:pPr>
      <w:r w:rsidRPr="00465867">
        <w:rPr>
          <w:b/>
        </w:rPr>
        <w:t>V. Механізм, та заходи, які забезпечать роз’яснення визначеної проблеми</w:t>
      </w:r>
    </w:p>
    <w:p w:rsidR="00465867" w:rsidRDefault="00465867" w:rsidP="00450386">
      <w:pPr>
        <w:spacing w:after="0" w:line="240" w:lineRule="auto"/>
        <w:ind w:left="0" w:right="0" w:firstLine="0"/>
      </w:pPr>
    </w:p>
    <w:p w:rsidR="00465867" w:rsidRDefault="00465867" w:rsidP="00465867">
      <w:pPr>
        <w:spacing w:after="0" w:line="240" w:lineRule="auto"/>
        <w:ind w:left="0" w:right="0" w:firstLine="708"/>
      </w:pPr>
      <w:r>
        <w:t>Враховуючи визначенні цілі, проведений аналіз поточної ситуації на території Рахівської міської територіальної громади, аналітичні показники відділів виконавчого комітету Рахівської міської ради, проведені консультації, зустрічі, визначається, що основним механізмом, який забезпечить розв’язання визначеної проблеми є встановлення транспортного податку на території Рахівської міської територіальної громади на 2022 рік. Тобто, розв’язання існуючої проблеми буде забезпечено за допомогою механізму нормотворчої діяльності органів місцевого самоврядування.</w:t>
      </w:r>
    </w:p>
    <w:p w:rsidR="00465867" w:rsidRDefault="00465867" w:rsidP="00465867">
      <w:pPr>
        <w:spacing w:after="0" w:line="240" w:lineRule="auto"/>
        <w:ind w:left="0" w:right="0" w:firstLine="708"/>
      </w:pPr>
      <w:r>
        <w:t xml:space="preserve">Платниками транспортного податку є фізичні та юридичні особи, в тому числі нерезиденти, які мають зареєстровані в Україні згідно з чинним законодавством власні легкові автомобілі, що відповідно є об’єктами оподаткування (об’єктом оподаткування є легкові автомобілі, з року випуску яких минуло не більше п’яти </w:t>
      </w:r>
      <w:r>
        <w:lastRenderedPageBreak/>
        <w:t xml:space="preserve">років (включно) та </w:t>
      </w:r>
      <w:proofErr w:type="spellStart"/>
      <w:r>
        <w:t>середньоринкова</w:t>
      </w:r>
      <w:proofErr w:type="spellEnd"/>
      <w:r>
        <w:t xml:space="preserve"> вартість яких становить понад 375 розмірів мінімальної заробітної плати, встановленої законом на 1 січня податкового (звітного) року.). </w:t>
      </w:r>
    </w:p>
    <w:p w:rsidR="00465867" w:rsidRDefault="00465867" w:rsidP="00465867">
      <w:pPr>
        <w:spacing w:after="0" w:line="240" w:lineRule="auto"/>
        <w:ind w:left="0" w:right="0" w:firstLine="708"/>
      </w:pPr>
      <w:r>
        <w:t>Ставка податку встановлюється з розрахунку на календарний рік у розмірі 25 000 гривень за кожен легковий автомобіль, що є об’єктом оподаткування. Заходи щодо впровадження регуляторного акта:</w:t>
      </w:r>
    </w:p>
    <w:p w:rsidR="00465867" w:rsidRDefault="00465867" w:rsidP="00465867">
      <w:pPr>
        <w:spacing w:after="0" w:line="240" w:lineRule="auto"/>
        <w:ind w:left="0" w:right="0" w:firstLine="708"/>
      </w:pPr>
      <w:r>
        <w:t xml:space="preserve">- розробка проекту рішення Рахівської міської ради </w:t>
      </w:r>
      <w:r w:rsidR="00DF11D1">
        <w:t>«</w:t>
      </w:r>
      <w:r>
        <w:t>Про встановлення ставок із сплати транспортного податку</w:t>
      </w:r>
      <w:r w:rsidR="00DF11D1">
        <w:t>»</w:t>
      </w:r>
      <w:r>
        <w:t xml:space="preserve"> та аналізу регуляторного впливу до нього; </w:t>
      </w:r>
    </w:p>
    <w:p w:rsidR="00465867" w:rsidRDefault="00465867" w:rsidP="00465867">
      <w:pPr>
        <w:spacing w:after="0" w:line="240" w:lineRule="auto"/>
        <w:ind w:left="0" w:right="0" w:firstLine="708"/>
      </w:pPr>
      <w:r>
        <w:t xml:space="preserve">- проведення консультацій з суб’єктами господарювання, та вразі необхідності з громадянами громади; </w:t>
      </w:r>
    </w:p>
    <w:p w:rsidR="00465867" w:rsidRDefault="00465867" w:rsidP="00465867">
      <w:pPr>
        <w:spacing w:after="0" w:line="240" w:lineRule="auto"/>
        <w:ind w:left="0" w:right="0" w:firstLine="708"/>
      </w:pPr>
      <w:r>
        <w:t xml:space="preserve">- оприлюднення проекту рішення Рахівської міської ради </w:t>
      </w:r>
      <w:r w:rsidR="00DF11D1">
        <w:t>„</w:t>
      </w:r>
      <w:r>
        <w:t>Про встановлення ставок із сплати транспортного податку</w:t>
      </w:r>
      <w:r w:rsidR="00DF11D1">
        <w:t>”</w:t>
      </w:r>
      <w:r>
        <w:t xml:space="preserve"> та аналізу регуляторного впливу до нього та отримання пропозицій і зауважень; </w:t>
      </w:r>
    </w:p>
    <w:p w:rsidR="00DF11D1" w:rsidRDefault="00465867" w:rsidP="00465867">
      <w:pPr>
        <w:spacing w:after="0" w:line="240" w:lineRule="auto"/>
        <w:ind w:left="0" w:right="0" w:firstLine="708"/>
      </w:pPr>
      <w:r>
        <w:t xml:space="preserve">- підготовка експертного висновку постійної </w:t>
      </w:r>
      <w:r w:rsidR="00DA718E">
        <w:t xml:space="preserve">комісії </w:t>
      </w:r>
      <w:r>
        <w:t>з питань</w:t>
      </w:r>
      <w:r w:rsidR="00DA718E">
        <w:t xml:space="preserve"> </w:t>
      </w:r>
      <w:r w:rsidR="00DA718E" w:rsidRPr="00B874F5">
        <w:rPr>
          <w:bCs/>
          <w:iCs/>
          <w:szCs w:val="28"/>
        </w:rPr>
        <w:t>з питань б</w:t>
      </w:r>
      <w:r w:rsidR="00DA718E" w:rsidRPr="00B874F5">
        <w:rPr>
          <w:iCs/>
          <w:szCs w:val="28"/>
        </w:rPr>
        <w:t>юджету</w:t>
      </w:r>
      <w:r w:rsidR="00DA718E">
        <w:rPr>
          <w:iCs/>
          <w:szCs w:val="28"/>
        </w:rPr>
        <w:t>,</w:t>
      </w:r>
      <w:r w:rsidR="00DA718E" w:rsidRPr="00B874F5">
        <w:rPr>
          <w:iCs/>
          <w:szCs w:val="28"/>
        </w:rPr>
        <w:t xml:space="preserve"> тарифів</w:t>
      </w:r>
      <w:r w:rsidR="00DA718E">
        <w:rPr>
          <w:iCs/>
          <w:szCs w:val="28"/>
        </w:rPr>
        <w:t xml:space="preserve"> і цін  </w:t>
      </w:r>
      <w:r>
        <w:t xml:space="preserve">Рахівської міської ради щодо відповідності проекту рішення Рахівської міської ради </w:t>
      </w:r>
      <w:r w:rsidR="00DF11D1">
        <w:t>„</w:t>
      </w:r>
      <w:r>
        <w:t>Про встановлення ставок із сплати транспортного податку</w:t>
      </w:r>
      <w:r w:rsidR="00DF11D1">
        <w:t>”</w:t>
      </w:r>
      <w:r>
        <w:t xml:space="preserve"> та аналізу регуляторного впливу до нього вимогам статей 4 та 8 Закону України </w:t>
      </w:r>
      <w:r w:rsidR="00DF11D1">
        <w:t>„</w:t>
      </w:r>
      <w:r>
        <w:t>По засади державної регуляторної політики у сфері господарської діяльності</w:t>
      </w:r>
      <w:r w:rsidR="00DF11D1">
        <w:t>”</w:t>
      </w:r>
      <w:r>
        <w:t>;</w:t>
      </w:r>
    </w:p>
    <w:p w:rsidR="00DF11D1" w:rsidRDefault="00DF11D1" w:rsidP="00465867">
      <w:pPr>
        <w:spacing w:after="0" w:line="240" w:lineRule="auto"/>
        <w:ind w:left="0" w:right="0" w:firstLine="708"/>
      </w:pPr>
      <w:r>
        <w:t>- </w:t>
      </w:r>
      <w:r w:rsidR="00465867">
        <w:t xml:space="preserve">отримання пропозицій по доопрацювання проекту рішення </w:t>
      </w:r>
      <w:r>
        <w:t>Рахівської міської</w:t>
      </w:r>
      <w:r w:rsidR="00465867">
        <w:t xml:space="preserve"> ради </w:t>
      </w:r>
      <w:r>
        <w:t>„</w:t>
      </w:r>
      <w:r w:rsidR="00465867">
        <w:t xml:space="preserve">Про встановлення </w:t>
      </w:r>
      <w:r>
        <w:t>ставок із сплати транспортного податку”</w:t>
      </w:r>
      <w:r w:rsidR="00465867">
        <w:t xml:space="preserve"> та аналізу регуляторного впливу до нього від Державної регуляторної служби України;</w:t>
      </w:r>
    </w:p>
    <w:p w:rsidR="00DF11D1" w:rsidRDefault="00DF11D1" w:rsidP="00465867">
      <w:pPr>
        <w:spacing w:after="0" w:line="240" w:lineRule="auto"/>
        <w:ind w:left="0" w:right="0" w:firstLine="708"/>
      </w:pPr>
      <w:r>
        <w:t>- </w:t>
      </w:r>
      <w:r w:rsidR="00465867">
        <w:t xml:space="preserve">прийняття рішення </w:t>
      </w:r>
      <w:r>
        <w:t xml:space="preserve">Рахівської міської </w:t>
      </w:r>
      <w:r w:rsidR="00465867">
        <w:t xml:space="preserve">ради </w:t>
      </w:r>
      <w:r>
        <w:t>„</w:t>
      </w:r>
      <w:r w:rsidR="00465867">
        <w:t xml:space="preserve">Про встановлення </w:t>
      </w:r>
      <w:r>
        <w:t>ставок із сплати транспортного податку”</w:t>
      </w:r>
      <w:r w:rsidR="00465867">
        <w:t xml:space="preserve"> на засіданні сесії </w:t>
      </w:r>
      <w:r>
        <w:t xml:space="preserve">міської </w:t>
      </w:r>
      <w:r w:rsidR="00465867">
        <w:t xml:space="preserve">ради; </w:t>
      </w:r>
    </w:p>
    <w:p w:rsidR="00DF11D1" w:rsidRDefault="00DF11D1" w:rsidP="00465867">
      <w:pPr>
        <w:spacing w:after="0" w:line="240" w:lineRule="auto"/>
        <w:ind w:left="0" w:right="0" w:firstLine="708"/>
      </w:pPr>
      <w:r>
        <w:t>- </w:t>
      </w:r>
      <w:r w:rsidR="00465867">
        <w:t xml:space="preserve">оприлюднення рішення </w:t>
      </w:r>
      <w:r>
        <w:t>Рахівської міської</w:t>
      </w:r>
      <w:r w:rsidR="00465867">
        <w:t xml:space="preserve"> ради </w:t>
      </w:r>
      <w:r>
        <w:t>„</w:t>
      </w:r>
      <w:r w:rsidR="00465867">
        <w:t xml:space="preserve">Про встановлення </w:t>
      </w:r>
      <w:r>
        <w:t>ставок із сплати транспортного податку”</w:t>
      </w:r>
      <w:r w:rsidR="00465867">
        <w:t xml:space="preserve"> у встановленому законодавством порядку;</w:t>
      </w:r>
    </w:p>
    <w:p w:rsidR="00465867" w:rsidRDefault="00DF11D1" w:rsidP="00465867">
      <w:pPr>
        <w:spacing w:after="0" w:line="240" w:lineRule="auto"/>
        <w:ind w:left="0" w:right="0" w:firstLine="708"/>
      </w:pPr>
      <w:r>
        <w:t>- </w:t>
      </w:r>
      <w:r w:rsidR="00465867">
        <w:t xml:space="preserve">проведення заходів з відстеження результативності прийнятого рішення </w:t>
      </w:r>
      <w:r>
        <w:t xml:space="preserve">Рахівської міської </w:t>
      </w:r>
      <w:r w:rsidR="00465867">
        <w:t xml:space="preserve">ради </w:t>
      </w:r>
      <w:r>
        <w:t>„</w:t>
      </w:r>
      <w:r w:rsidR="00465867">
        <w:t xml:space="preserve">Про встановлення </w:t>
      </w:r>
      <w:r>
        <w:t>ставок із сплати транспортного податку”.</w:t>
      </w:r>
    </w:p>
    <w:p w:rsidR="00DF11D1" w:rsidRDefault="00DF11D1" w:rsidP="00DF11D1">
      <w:pPr>
        <w:spacing w:after="0" w:line="240" w:lineRule="auto"/>
        <w:ind w:left="0" w:right="0" w:firstLine="0"/>
      </w:pPr>
    </w:p>
    <w:p w:rsidR="00DF11D1" w:rsidRDefault="00DF11D1" w:rsidP="00DF11D1">
      <w:pPr>
        <w:spacing w:after="0" w:line="240" w:lineRule="auto"/>
        <w:ind w:left="0" w:right="0" w:firstLine="0"/>
        <w:jc w:val="center"/>
        <w:rPr>
          <w:b/>
        </w:rPr>
      </w:pPr>
      <w:r w:rsidRPr="00DF11D1">
        <w:rPr>
          <w:b/>
        </w:rPr>
        <w:t xml:space="preserve">VI. Оцінка виконання вимог регуляторного акта залежно від ресурсів, </w:t>
      </w:r>
    </w:p>
    <w:p w:rsidR="00DF11D1" w:rsidRPr="00DF11D1" w:rsidRDefault="00DF11D1" w:rsidP="00DF11D1">
      <w:pPr>
        <w:spacing w:after="0" w:line="240" w:lineRule="auto"/>
        <w:ind w:left="0" w:right="0" w:firstLine="0"/>
        <w:jc w:val="center"/>
        <w:rPr>
          <w:b/>
        </w:rPr>
      </w:pPr>
      <w:r w:rsidRPr="00DF11D1">
        <w:rPr>
          <w:b/>
        </w:rPr>
        <w:t>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DF11D1" w:rsidRDefault="00DF11D1" w:rsidP="00DF11D1">
      <w:pPr>
        <w:spacing w:after="0" w:line="240" w:lineRule="auto"/>
        <w:ind w:left="0" w:right="0" w:firstLine="708"/>
      </w:pPr>
      <w:r>
        <w:t>Додаткові витрати на запровадження державного регулювання для адміністрування транспортного податку, яке здійснює Рахівське управління ГУ ДФС у Закарпатській області: відсутні.</w:t>
      </w:r>
    </w:p>
    <w:p w:rsidR="00DF11D1" w:rsidRDefault="00DF11D1" w:rsidP="00DF11D1">
      <w:pPr>
        <w:spacing w:after="0" w:line="240" w:lineRule="auto"/>
        <w:ind w:left="0" w:right="0" w:firstLine="0"/>
      </w:pPr>
    </w:p>
    <w:p w:rsidR="00DF11D1" w:rsidRPr="00DF11D1" w:rsidRDefault="00DF11D1" w:rsidP="00DF11D1">
      <w:pPr>
        <w:spacing w:after="0" w:line="240" w:lineRule="auto"/>
        <w:ind w:left="0" w:right="0" w:firstLine="0"/>
        <w:jc w:val="center"/>
        <w:rPr>
          <w:b/>
        </w:rPr>
      </w:pPr>
      <w:r w:rsidRPr="00DF11D1">
        <w:rPr>
          <w:b/>
        </w:rPr>
        <w:t>VII. Обґрунтування запропонованого строку дії регуляторного акта.</w:t>
      </w:r>
    </w:p>
    <w:p w:rsidR="00DF11D1" w:rsidRDefault="00DF11D1" w:rsidP="00DF11D1">
      <w:pPr>
        <w:tabs>
          <w:tab w:val="left" w:pos="5670"/>
        </w:tabs>
        <w:spacing w:after="0" w:line="240" w:lineRule="auto"/>
        <w:ind w:left="0" w:right="0" w:firstLine="708"/>
      </w:pPr>
      <w:r>
        <w:t>Термін дії запропонованого регуляторного акта дорівнює бюджетному періоду, що починається з 01.01.2022 року та закінчується 31.12.2022 року. Обґрунтування запропонованого терміну дії акта:</w:t>
      </w:r>
    </w:p>
    <w:p w:rsidR="00DF11D1" w:rsidRDefault="00DF11D1" w:rsidP="00DF11D1">
      <w:pPr>
        <w:tabs>
          <w:tab w:val="left" w:pos="5670"/>
        </w:tabs>
        <w:spacing w:after="0" w:line="240" w:lineRule="auto"/>
        <w:ind w:left="0" w:right="0" w:firstLine="708"/>
      </w:pPr>
      <w:r w:rsidRPr="006E59CB">
        <w:rPr>
          <w:color w:val="auto"/>
        </w:rPr>
        <w:t>Запропонований термін дії регуляторного акта один рік. В разі внесення змін до чинного законодавства України в частині справляння місцевих податків та зборів, в тому числі транспортного податку відповідні зміни будуть внесені до даного регул</w:t>
      </w:r>
      <w:r>
        <w:t xml:space="preserve">яторного акту. У разі, якщо </w:t>
      </w:r>
      <w:r w:rsidR="004F3221">
        <w:t>міська</w:t>
      </w:r>
      <w:r>
        <w:t xml:space="preserve"> рада до </w:t>
      </w:r>
      <w:r w:rsidR="004F3221">
        <w:t>п’ятнадцятого</w:t>
      </w:r>
      <w:r>
        <w:t xml:space="preserve"> липня не </w:t>
      </w:r>
      <w:r>
        <w:lastRenderedPageBreak/>
        <w:t>прийняла рішення про встановлення транспортного податку на наступний рік</w:t>
      </w:r>
      <w:r w:rsidRPr="006E59CB">
        <w:rPr>
          <w:color w:val="auto"/>
        </w:rPr>
        <w:t>, що є обов’язковим згідно з нормами Податкового кодексу України, такий податок до прийняття рішення справляється виходячи з норм Податкового кодексу України</w:t>
      </w:r>
      <w:r>
        <w:t>. Враховуючи норми Бюджетного та Податкового кодексів України, органи місцевого самоврядування мають щорічно встановлювати ставки місцевих податків та зборів, в тому числі транспортного податку, що справляються в установленому Податковим кодексом України порядку.</w:t>
      </w:r>
    </w:p>
    <w:p w:rsidR="004F3221" w:rsidRDefault="004F3221" w:rsidP="004F3221">
      <w:pPr>
        <w:tabs>
          <w:tab w:val="left" w:pos="5670"/>
        </w:tabs>
        <w:spacing w:after="0" w:line="240" w:lineRule="auto"/>
        <w:ind w:left="0" w:right="0" w:firstLine="0"/>
      </w:pPr>
    </w:p>
    <w:p w:rsidR="004F3221" w:rsidRDefault="004F3221" w:rsidP="004F3221">
      <w:pPr>
        <w:tabs>
          <w:tab w:val="left" w:pos="5670"/>
        </w:tabs>
        <w:spacing w:after="0" w:line="240" w:lineRule="auto"/>
        <w:ind w:left="0" w:right="0" w:firstLine="0"/>
        <w:jc w:val="center"/>
        <w:rPr>
          <w:b/>
        </w:rPr>
      </w:pPr>
      <w:r>
        <w:rPr>
          <w:b/>
          <w:lang w:val="en-US"/>
        </w:rPr>
        <w:t>V</w:t>
      </w:r>
      <w:r w:rsidRPr="004F3221">
        <w:rPr>
          <w:b/>
        </w:rPr>
        <w:t>III. Визначення показників результативності дії регуляторного акта</w:t>
      </w:r>
    </w:p>
    <w:tbl>
      <w:tblPr>
        <w:tblStyle w:val="a3"/>
        <w:tblW w:w="0" w:type="auto"/>
        <w:tblLook w:val="04A0" w:firstRow="1" w:lastRow="0" w:firstColumn="1" w:lastColumn="0" w:noHBand="0" w:noVBand="1"/>
      </w:tblPr>
      <w:tblGrid>
        <w:gridCol w:w="5085"/>
        <w:gridCol w:w="5086"/>
      </w:tblGrid>
      <w:tr w:rsidR="004F3221" w:rsidTr="004F3221">
        <w:tc>
          <w:tcPr>
            <w:tcW w:w="5085" w:type="dxa"/>
          </w:tcPr>
          <w:p w:rsidR="004F3221" w:rsidRDefault="004F3221" w:rsidP="004F3221">
            <w:pPr>
              <w:tabs>
                <w:tab w:val="left" w:pos="5670"/>
              </w:tabs>
              <w:spacing w:after="0" w:line="240" w:lineRule="auto"/>
              <w:ind w:left="0" w:right="0" w:firstLine="0"/>
              <w:jc w:val="center"/>
            </w:pPr>
            <w:r>
              <w:t>Показник результативності</w:t>
            </w:r>
          </w:p>
        </w:tc>
        <w:tc>
          <w:tcPr>
            <w:tcW w:w="5086" w:type="dxa"/>
          </w:tcPr>
          <w:p w:rsidR="004F3221" w:rsidRDefault="004F3221" w:rsidP="004F3221">
            <w:pPr>
              <w:tabs>
                <w:tab w:val="left" w:pos="5670"/>
              </w:tabs>
              <w:spacing w:after="0" w:line="240" w:lineRule="auto"/>
              <w:ind w:left="0" w:right="0" w:firstLine="0"/>
              <w:jc w:val="center"/>
            </w:pPr>
            <w:r>
              <w:t>У разі прийняття рішення рахівської міської ради „Про встановлення ставок із сплати транспортного податку”</w:t>
            </w:r>
          </w:p>
        </w:tc>
      </w:tr>
      <w:tr w:rsidR="004F3221" w:rsidTr="004F3221">
        <w:tc>
          <w:tcPr>
            <w:tcW w:w="5085" w:type="dxa"/>
          </w:tcPr>
          <w:p w:rsidR="004F3221" w:rsidRDefault="004F3221" w:rsidP="00497A31">
            <w:pPr>
              <w:tabs>
                <w:tab w:val="left" w:pos="5670"/>
              </w:tabs>
              <w:spacing w:after="0" w:line="240" w:lineRule="auto"/>
              <w:ind w:left="0" w:right="0" w:firstLine="0"/>
            </w:pPr>
            <w:r>
              <w:t xml:space="preserve">Очікуваний обсяг надходжень транспортного податку за визначеними ставками до бюджету </w:t>
            </w:r>
            <w:r w:rsidR="00497A31">
              <w:t>міської</w:t>
            </w:r>
            <w:r>
              <w:t xml:space="preserve"> територіальної громади, гривень</w:t>
            </w:r>
          </w:p>
          <w:p w:rsidR="00497A31" w:rsidRDefault="00497A31" w:rsidP="00497A31">
            <w:pPr>
              <w:tabs>
                <w:tab w:val="left" w:pos="5670"/>
              </w:tabs>
              <w:spacing w:after="0" w:line="240" w:lineRule="auto"/>
              <w:ind w:left="0" w:right="0" w:firstLine="0"/>
            </w:pPr>
            <w:r>
              <w:t>Кількість суб’єктів господарювання та/або фізичних осіб, на яких поширюватиметься дія акта, одиниць</w:t>
            </w:r>
          </w:p>
        </w:tc>
        <w:tc>
          <w:tcPr>
            <w:tcW w:w="5086" w:type="dxa"/>
          </w:tcPr>
          <w:p w:rsidR="004F3221" w:rsidRDefault="00497A31" w:rsidP="00497A31">
            <w:pPr>
              <w:tabs>
                <w:tab w:val="left" w:pos="5670"/>
              </w:tabs>
              <w:spacing w:after="0" w:line="240" w:lineRule="auto"/>
              <w:ind w:left="0" w:right="0" w:firstLine="0"/>
              <w:jc w:val="center"/>
            </w:pPr>
            <w:r>
              <w:t>Передбачити очікуваний обсяг надходжень та кількість суб’єктів господарювання на 2022 рік на яких розповсюджуватиметься дія даного регуляторного акту неможливо, але встановлення ставки забезпечить, у випадку їх появи, чітко визначені умови щодо визначення розміру сплати транспортного податку.</w:t>
            </w:r>
          </w:p>
        </w:tc>
      </w:tr>
      <w:tr w:rsidR="004F3221" w:rsidTr="004F3221">
        <w:tc>
          <w:tcPr>
            <w:tcW w:w="5085" w:type="dxa"/>
          </w:tcPr>
          <w:p w:rsidR="00497A31" w:rsidRDefault="00497A31" w:rsidP="00497A31">
            <w:pPr>
              <w:tabs>
                <w:tab w:val="left" w:pos="5670"/>
              </w:tabs>
              <w:spacing w:after="0" w:line="240" w:lineRule="auto"/>
              <w:ind w:left="0" w:right="0" w:firstLine="0"/>
              <w:jc w:val="center"/>
            </w:pPr>
            <w:r>
              <w:t xml:space="preserve">Рівень поінформованості суб’єктів господарювання та/або фізичних осіб з основних положень акта, % Оприлюднення повідомлення, проекту рішення, аналізу регуляторного впливу: </w:t>
            </w:r>
            <w:r w:rsidRPr="00886A9C">
              <w:rPr>
                <w:szCs w:val="28"/>
              </w:rPr>
              <w:t>буде оприлюднено у друкованих засобах масової інформації та на офіційному веб-сайті Рахівської міської ради у розділі «Регуляторна політика», або в інший можливий спосіб у термін, установлений законодавством.</w:t>
            </w:r>
          </w:p>
        </w:tc>
        <w:tc>
          <w:tcPr>
            <w:tcW w:w="5086" w:type="dxa"/>
          </w:tcPr>
          <w:p w:rsidR="004F3221" w:rsidRDefault="00497A31" w:rsidP="00497A31">
            <w:pPr>
              <w:tabs>
                <w:tab w:val="left" w:pos="5670"/>
              </w:tabs>
              <w:spacing w:after="0" w:line="240" w:lineRule="auto"/>
              <w:ind w:left="0" w:right="0" w:firstLine="0"/>
              <w:jc w:val="center"/>
            </w:pPr>
            <w:r>
              <w:t>100</w:t>
            </w:r>
          </w:p>
        </w:tc>
      </w:tr>
    </w:tbl>
    <w:p w:rsidR="004F3221" w:rsidRDefault="004F3221" w:rsidP="004F3221">
      <w:pPr>
        <w:tabs>
          <w:tab w:val="left" w:pos="5670"/>
        </w:tabs>
        <w:spacing w:after="0" w:line="240" w:lineRule="auto"/>
        <w:ind w:left="0" w:right="0" w:firstLine="0"/>
      </w:pPr>
    </w:p>
    <w:p w:rsidR="00497A31" w:rsidRPr="00497A31" w:rsidRDefault="00497A31" w:rsidP="00497A31">
      <w:pPr>
        <w:tabs>
          <w:tab w:val="left" w:pos="5670"/>
        </w:tabs>
        <w:spacing w:after="0" w:line="240" w:lineRule="auto"/>
        <w:ind w:left="0" w:right="0" w:firstLine="0"/>
        <w:jc w:val="center"/>
        <w:rPr>
          <w:b/>
        </w:rPr>
      </w:pPr>
      <w:r w:rsidRPr="00497A31">
        <w:rPr>
          <w:b/>
        </w:rPr>
        <w:t>IX. Визначення заходів, за допомогою яких здійснюватиметься відстеження результативності дії регуляторного акта</w:t>
      </w:r>
    </w:p>
    <w:p w:rsidR="00497A31" w:rsidRDefault="00497A31" w:rsidP="00497A31">
      <w:pPr>
        <w:tabs>
          <w:tab w:val="left" w:pos="5670"/>
        </w:tabs>
        <w:spacing w:after="0" w:line="240" w:lineRule="auto"/>
        <w:ind w:left="0" w:right="0" w:firstLine="709"/>
      </w:pPr>
      <w:r>
        <w:t>Відстеження результативності регуляторного акта буде здійснюватися виконавчим комітетом Рахівської міської ради. Метод проведення відстеження результативності: Статистичний. Вид даних, за допомогою яких здійснюватиметься відстеження результативності: Статистичні дані: - аналітичні показники Рахівського управління ГУ ДФС у Закарпатській області; Базове відстеження результативності регуляторного акта здійснюватиметься до дня набрання чинності цим регуляторним актом. Повторне відстеження результативності буде здійснюватися за три місяці до дня закінчення визначеного строку дії регуляторного акта.</w:t>
      </w:r>
    </w:p>
    <w:p w:rsidR="00F04F08" w:rsidRDefault="00F04F08" w:rsidP="00497A31">
      <w:pPr>
        <w:tabs>
          <w:tab w:val="left" w:pos="5670"/>
        </w:tabs>
        <w:spacing w:after="0" w:line="240" w:lineRule="auto"/>
        <w:ind w:left="0" w:right="0" w:firstLine="0"/>
        <w:rPr>
          <w:b/>
        </w:rPr>
      </w:pPr>
    </w:p>
    <w:p w:rsidR="00497A31" w:rsidRPr="00497A31" w:rsidRDefault="00497A31" w:rsidP="00497A31">
      <w:pPr>
        <w:tabs>
          <w:tab w:val="left" w:pos="5670"/>
        </w:tabs>
        <w:spacing w:after="0" w:line="240" w:lineRule="auto"/>
        <w:ind w:left="0" w:right="0" w:firstLine="0"/>
        <w:rPr>
          <w:b/>
        </w:rPr>
      </w:pPr>
      <w:r w:rsidRPr="00497A31">
        <w:rPr>
          <w:b/>
        </w:rPr>
        <w:t>Міський голова</w:t>
      </w:r>
      <w:r w:rsidRPr="00497A31">
        <w:rPr>
          <w:b/>
        </w:rPr>
        <w:tab/>
      </w:r>
      <w:r w:rsidRPr="00497A31">
        <w:rPr>
          <w:b/>
        </w:rPr>
        <w:tab/>
      </w:r>
      <w:r w:rsidRPr="00497A31">
        <w:rPr>
          <w:b/>
        </w:rPr>
        <w:tab/>
      </w:r>
      <w:r w:rsidR="006E59CB">
        <w:rPr>
          <w:b/>
        </w:rPr>
        <w:tab/>
        <w:t>В. </w:t>
      </w:r>
      <w:r w:rsidRPr="00497A31">
        <w:rPr>
          <w:b/>
        </w:rPr>
        <w:t>МЕДВІДЬ</w:t>
      </w:r>
    </w:p>
    <w:sectPr w:rsidR="00497A31" w:rsidRPr="00497A31">
      <w:pgSz w:w="11966" w:h="16877"/>
      <w:pgMar w:top="1104" w:right="442" w:bottom="1238" w:left="1343"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tiqua">
    <w:altName w:val="Segoe UI"/>
    <w:charset w:val="00"/>
    <w:family w:val="swiss"/>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28" style="width:1.5pt;height:.75pt" coordsize="" o:spt="100" o:bullet="t" adj="0,,0" path="" stroked="f">
        <v:stroke joinstyle="miter"/>
        <v:imagedata r:id="rId1" o:title="image100"/>
        <v:formulas/>
        <v:path o:connecttype="segments"/>
      </v:shape>
    </w:pict>
  </w:numPicBullet>
  <w:abstractNum w:abstractNumId="0">
    <w:nsid w:val="113D166E"/>
    <w:multiLevelType w:val="hybridMultilevel"/>
    <w:tmpl w:val="7AAA3126"/>
    <w:lvl w:ilvl="0" w:tplc="CDDC2B7E">
      <w:start w:val="1"/>
      <w:numFmt w:val="bullet"/>
      <w:lvlText w:val="-"/>
      <w:lvlJc w:val="left"/>
      <w:pPr>
        <w:ind w:left="5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7B88914">
      <w:start w:val="1"/>
      <w:numFmt w:val="bullet"/>
      <w:lvlText w:val="o"/>
      <w:lvlJc w:val="left"/>
      <w:pPr>
        <w:ind w:left="16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920D030">
      <w:start w:val="1"/>
      <w:numFmt w:val="bullet"/>
      <w:lvlText w:val="▪"/>
      <w:lvlJc w:val="left"/>
      <w:pPr>
        <w:ind w:left="23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A424FFE">
      <w:start w:val="1"/>
      <w:numFmt w:val="bullet"/>
      <w:lvlText w:val="•"/>
      <w:lvlJc w:val="left"/>
      <w:pPr>
        <w:ind w:left="30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D7A9AB2">
      <w:start w:val="1"/>
      <w:numFmt w:val="bullet"/>
      <w:lvlText w:val="o"/>
      <w:lvlJc w:val="left"/>
      <w:pPr>
        <w:ind w:left="38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306393A">
      <w:start w:val="1"/>
      <w:numFmt w:val="bullet"/>
      <w:lvlText w:val="▪"/>
      <w:lvlJc w:val="left"/>
      <w:pPr>
        <w:ind w:left="45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47ACE34">
      <w:start w:val="1"/>
      <w:numFmt w:val="bullet"/>
      <w:lvlText w:val="•"/>
      <w:lvlJc w:val="left"/>
      <w:pPr>
        <w:ind w:left="52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96C2368">
      <w:start w:val="1"/>
      <w:numFmt w:val="bullet"/>
      <w:lvlText w:val="o"/>
      <w:lvlJc w:val="left"/>
      <w:pPr>
        <w:ind w:left="59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05A5282">
      <w:start w:val="1"/>
      <w:numFmt w:val="bullet"/>
      <w:lvlText w:val="▪"/>
      <w:lvlJc w:val="left"/>
      <w:pPr>
        <w:ind w:left="66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nsid w:val="352F7E3D"/>
    <w:multiLevelType w:val="hybridMultilevel"/>
    <w:tmpl w:val="5AE4367A"/>
    <w:lvl w:ilvl="0" w:tplc="4784E508">
      <w:start w:val="1"/>
      <w:numFmt w:val="bullet"/>
      <w:lvlText w:val="-"/>
      <w:lvlJc w:val="left"/>
      <w:pPr>
        <w:ind w:left="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E81E8858">
      <w:start w:val="1"/>
      <w:numFmt w:val="bullet"/>
      <w:lvlText w:val="o"/>
      <w:lvlJc w:val="left"/>
      <w:pPr>
        <w:ind w:left="16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5CA03A2">
      <w:start w:val="1"/>
      <w:numFmt w:val="bullet"/>
      <w:lvlText w:val="▪"/>
      <w:lvlJc w:val="left"/>
      <w:pPr>
        <w:ind w:left="23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9880764">
      <w:start w:val="1"/>
      <w:numFmt w:val="bullet"/>
      <w:lvlText w:val="•"/>
      <w:lvlJc w:val="left"/>
      <w:pPr>
        <w:ind w:left="30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3C299D0">
      <w:start w:val="1"/>
      <w:numFmt w:val="bullet"/>
      <w:lvlText w:val="o"/>
      <w:lvlJc w:val="left"/>
      <w:pPr>
        <w:ind w:left="37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E28D416">
      <w:start w:val="1"/>
      <w:numFmt w:val="bullet"/>
      <w:lvlText w:val="▪"/>
      <w:lvlJc w:val="left"/>
      <w:pPr>
        <w:ind w:left="45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C480A9C">
      <w:start w:val="1"/>
      <w:numFmt w:val="bullet"/>
      <w:lvlText w:val="•"/>
      <w:lvlJc w:val="left"/>
      <w:pPr>
        <w:ind w:left="52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BCC02CE">
      <w:start w:val="1"/>
      <w:numFmt w:val="bullet"/>
      <w:lvlText w:val="o"/>
      <w:lvlJc w:val="left"/>
      <w:pPr>
        <w:ind w:left="59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1BEB9AC">
      <w:start w:val="1"/>
      <w:numFmt w:val="bullet"/>
      <w:lvlText w:val="▪"/>
      <w:lvlJc w:val="left"/>
      <w:pPr>
        <w:ind w:left="66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nsid w:val="4F110EF4"/>
    <w:multiLevelType w:val="hybridMultilevel"/>
    <w:tmpl w:val="CAD601BC"/>
    <w:lvl w:ilvl="0" w:tplc="E09200CA">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4259AC">
      <w:start w:val="1"/>
      <w:numFmt w:val="bullet"/>
      <w:lvlText w:val="o"/>
      <w:lvlJc w:val="left"/>
      <w:pPr>
        <w:ind w:left="2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2880B0">
      <w:start w:val="1"/>
      <w:numFmt w:val="bullet"/>
      <w:lvlText w:val="▪"/>
      <w:lvlJc w:val="left"/>
      <w:pPr>
        <w:ind w:left="3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D07672">
      <w:start w:val="1"/>
      <w:numFmt w:val="bullet"/>
      <w:lvlText w:val="•"/>
      <w:lvlJc w:val="left"/>
      <w:pPr>
        <w:ind w:left="3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3EC706">
      <w:start w:val="1"/>
      <w:numFmt w:val="bullet"/>
      <w:lvlText w:val="o"/>
      <w:lvlJc w:val="left"/>
      <w:pPr>
        <w:ind w:left="4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586E8E">
      <w:start w:val="1"/>
      <w:numFmt w:val="bullet"/>
      <w:lvlText w:val="▪"/>
      <w:lvlJc w:val="left"/>
      <w:pPr>
        <w:ind w:left="5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162796">
      <w:start w:val="1"/>
      <w:numFmt w:val="bullet"/>
      <w:lvlText w:val="•"/>
      <w:lvlJc w:val="left"/>
      <w:pPr>
        <w:ind w:left="6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BC9114">
      <w:start w:val="1"/>
      <w:numFmt w:val="bullet"/>
      <w:lvlText w:val="o"/>
      <w:lvlJc w:val="left"/>
      <w:pPr>
        <w:ind w:left="6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4869DA">
      <w:start w:val="1"/>
      <w:numFmt w:val="bullet"/>
      <w:lvlText w:val="▪"/>
      <w:lvlJc w:val="left"/>
      <w:pPr>
        <w:ind w:left="7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4FA00224"/>
    <w:multiLevelType w:val="hybridMultilevel"/>
    <w:tmpl w:val="9A18016E"/>
    <w:lvl w:ilvl="0" w:tplc="2ED4F4C2">
      <w:start w:val="1"/>
      <w:numFmt w:val="bullet"/>
      <w:lvlText w:val="-"/>
      <w:lvlJc w:val="left"/>
      <w:pPr>
        <w:ind w:left="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78246144">
      <w:start w:val="1"/>
      <w:numFmt w:val="bullet"/>
      <w:lvlText w:val="o"/>
      <w:lvlJc w:val="left"/>
      <w:pPr>
        <w:ind w:left="183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F6EAF940">
      <w:start w:val="1"/>
      <w:numFmt w:val="bullet"/>
      <w:lvlText w:val="▪"/>
      <w:lvlJc w:val="left"/>
      <w:pPr>
        <w:ind w:left="255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9EEEAB20">
      <w:start w:val="1"/>
      <w:numFmt w:val="bullet"/>
      <w:lvlText w:val="•"/>
      <w:lvlJc w:val="left"/>
      <w:pPr>
        <w:ind w:left="327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98206CC2">
      <w:start w:val="1"/>
      <w:numFmt w:val="bullet"/>
      <w:lvlText w:val="o"/>
      <w:lvlJc w:val="left"/>
      <w:pPr>
        <w:ind w:left="399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A75C0122">
      <w:start w:val="1"/>
      <w:numFmt w:val="bullet"/>
      <w:lvlText w:val="▪"/>
      <w:lvlJc w:val="left"/>
      <w:pPr>
        <w:ind w:left="471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DDF476BE">
      <w:start w:val="1"/>
      <w:numFmt w:val="bullet"/>
      <w:lvlText w:val="•"/>
      <w:lvlJc w:val="left"/>
      <w:pPr>
        <w:ind w:left="543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F3B06954">
      <w:start w:val="1"/>
      <w:numFmt w:val="bullet"/>
      <w:lvlText w:val="o"/>
      <w:lvlJc w:val="left"/>
      <w:pPr>
        <w:ind w:left="615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321812DE">
      <w:start w:val="1"/>
      <w:numFmt w:val="bullet"/>
      <w:lvlText w:val="▪"/>
      <w:lvlJc w:val="left"/>
      <w:pPr>
        <w:ind w:left="687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912"/>
    <w:rsid w:val="000F7649"/>
    <w:rsid w:val="00247A53"/>
    <w:rsid w:val="00395954"/>
    <w:rsid w:val="00450386"/>
    <w:rsid w:val="00465867"/>
    <w:rsid w:val="00497A31"/>
    <w:rsid w:val="004F3221"/>
    <w:rsid w:val="00677912"/>
    <w:rsid w:val="006B490E"/>
    <w:rsid w:val="006E59CB"/>
    <w:rsid w:val="007F248D"/>
    <w:rsid w:val="008C2886"/>
    <w:rsid w:val="0092515E"/>
    <w:rsid w:val="00935C21"/>
    <w:rsid w:val="00D76B24"/>
    <w:rsid w:val="00DA718E"/>
    <w:rsid w:val="00DF11D1"/>
    <w:rsid w:val="00F04F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 w:line="249" w:lineRule="auto"/>
      <w:ind w:left="346" w:right="365" w:firstLine="70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39"/>
    <w:rsid w:val="009251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Нормальний текст"/>
    <w:basedOn w:val="a"/>
    <w:uiPriority w:val="99"/>
    <w:rsid w:val="00497A31"/>
    <w:pPr>
      <w:spacing w:before="120" w:after="0" w:line="240" w:lineRule="auto"/>
      <w:ind w:left="0" w:right="0" w:firstLine="567"/>
      <w:jc w:val="left"/>
    </w:pPr>
    <w:rPr>
      <w:rFonts w:ascii="Antiqua" w:hAnsi="Antiqua"/>
      <w:color w:val="auto"/>
      <w:sz w:val="26"/>
      <w:szCs w:val="20"/>
      <w:lang w:eastAsia="ru-RU"/>
    </w:rPr>
  </w:style>
  <w:style w:type="paragraph" w:styleId="a5">
    <w:name w:val="Balloon Text"/>
    <w:basedOn w:val="a"/>
    <w:link w:val="a6"/>
    <w:uiPriority w:val="99"/>
    <w:semiHidden/>
    <w:unhideWhenUsed/>
    <w:rsid w:val="008C288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C2886"/>
    <w:rPr>
      <w:rFonts w:ascii="Segoe UI" w:eastAsia="Times New Roman"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 w:line="249" w:lineRule="auto"/>
      <w:ind w:left="346" w:right="365" w:firstLine="70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39"/>
    <w:rsid w:val="009251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Нормальний текст"/>
    <w:basedOn w:val="a"/>
    <w:uiPriority w:val="99"/>
    <w:rsid w:val="00497A31"/>
    <w:pPr>
      <w:spacing w:before="120" w:after="0" w:line="240" w:lineRule="auto"/>
      <w:ind w:left="0" w:right="0" w:firstLine="567"/>
      <w:jc w:val="left"/>
    </w:pPr>
    <w:rPr>
      <w:rFonts w:ascii="Antiqua" w:hAnsi="Antiqua"/>
      <w:color w:val="auto"/>
      <w:sz w:val="26"/>
      <w:szCs w:val="20"/>
      <w:lang w:eastAsia="ru-RU"/>
    </w:rPr>
  </w:style>
  <w:style w:type="paragraph" w:styleId="a5">
    <w:name w:val="Balloon Text"/>
    <w:basedOn w:val="a"/>
    <w:link w:val="a6"/>
    <w:uiPriority w:val="99"/>
    <w:semiHidden/>
    <w:unhideWhenUsed/>
    <w:rsid w:val="008C288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C2886"/>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46AE4-C0A6-4634-9F27-D07894166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2941</Words>
  <Characters>16768</Characters>
  <Application>Microsoft Office Word</Application>
  <DocSecurity>0</DocSecurity>
  <Lines>139</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19670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Vitalik</dc:creator>
  <cp:lastModifiedBy>User</cp:lastModifiedBy>
  <cp:revision>2</cp:revision>
  <cp:lastPrinted>2021-04-26T05:19:00Z</cp:lastPrinted>
  <dcterms:created xsi:type="dcterms:W3CDTF">2021-04-27T13:21:00Z</dcterms:created>
  <dcterms:modified xsi:type="dcterms:W3CDTF">2021-04-27T13:21:00Z</dcterms:modified>
</cp:coreProperties>
</file>